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Original Research Article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sz w:val="20"/>
                <w:szCs w:val="20"/>
              </w:rPr>
              <w:t>The Egyptian Journal of Immunology Volume 31 (2), 2024: 61–70.</w:t>
            </w:r>
            <w:r w:rsidRPr="00AA5765">
              <w:rPr>
                <w:rFonts w:ascii="Calibri" w:eastAsia="Times New Roman" w:hAnsi="Calibri" w:cs="Calibri"/>
                <w:color w:val="0033CC"/>
                <w:sz w:val="20"/>
                <w:szCs w:val="20"/>
              </w:rPr>
              <w:t>www.Ejimmunology.org</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b/>
                <w:bCs/>
                <w:color w:val="000000"/>
                <w:sz w:val="32"/>
                <w:szCs w:val="32"/>
              </w:rPr>
              <w:t>Association of serum IL-30 and soluble GP130 with the risk of psoriasis vulgaris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b/>
                <w:bCs/>
                <w:color w:val="000000"/>
                <w:sz w:val="32"/>
                <w:szCs w:val="32"/>
              </w:rPr>
              <w:t>Rofaida R. Shehata</w:t>
            </w:r>
            <w:r w:rsidRPr="00AA5765">
              <w:rPr>
                <w:rFonts w:ascii="Calibri" w:eastAsia="Times New Roman" w:hAnsi="Calibri" w:cs="Calibri"/>
                <w:b/>
                <w:bCs/>
                <w:color w:val="000000"/>
                <w:sz w:val="16"/>
                <w:szCs w:val="16"/>
              </w:rPr>
              <w:t>1</w:t>
            </w:r>
            <w:r w:rsidRPr="00AA5765">
              <w:rPr>
                <w:rFonts w:ascii="Calibri" w:eastAsia="Times New Roman" w:hAnsi="Calibri" w:cs="Calibri"/>
                <w:b/>
                <w:bCs/>
                <w:color w:val="000000"/>
                <w:sz w:val="32"/>
                <w:szCs w:val="32"/>
              </w:rPr>
              <w:t>, Sara A. Atta</w:t>
            </w:r>
            <w:r w:rsidRPr="00AA5765">
              <w:rPr>
                <w:rFonts w:ascii="Calibri" w:eastAsia="Times New Roman" w:hAnsi="Calibri" w:cs="Calibri"/>
                <w:b/>
                <w:bCs/>
                <w:color w:val="000000"/>
                <w:sz w:val="16"/>
                <w:szCs w:val="16"/>
              </w:rPr>
              <w:t>2</w:t>
            </w:r>
            <w:r w:rsidRPr="00AA5765">
              <w:rPr>
                <w:rFonts w:ascii="Calibri" w:eastAsia="Times New Roman" w:hAnsi="Calibri" w:cs="Calibri"/>
                <w:b/>
                <w:bCs/>
                <w:color w:val="000000"/>
                <w:sz w:val="32"/>
                <w:szCs w:val="32"/>
              </w:rPr>
              <w:t>, Abd-</w:t>
            </w:r>
            <w:proofErr w:type="spellStart"/>
            <w:r w:rsidRPr="00AA5765">
              <w:rPr>
                <w:rFonts w:ascii="Calibri" w:eastAsia="Times New Roman" w:hAnsi="Calibri" w:cs="Calibri"/>
                <w:b/>
                <w:bCs/>
                <w:color w:val="000000"/>
                <w:sz w:val="32"/>
                <w:szCs w:val="32"/>
              </w:rPr>
              <w:t>Elsamea</w:t>
            </w:r>
            <w:proofErr w:type="spellEnd"/>
            <w:r w:rsidRPr="00AA5765">
              <w:rPr>
                <w:rFonts w:ascii="Calibri" w:eastAsia="Times New Roman" w:hAnsi="Calibri" w:cs="Calibri"/>
                <w:b/>
                <w:bCs/>
                <w:color w:val="000000"/>
                <w:sz w:val="32"/>
                <w:szCs w:val="32"/>
              </w:rPr>
              <w:t xml:space="preserve"> S. Fatma</w:t>
            </w:r>
            <w:r w:rsidRPr="00AA5765">
              <w:rPr>
                <w:rFonts w:ascii="Calibri" w:eastAsia="Times New Roman" w:hAnsi="Calibri" w:cs="Calibri"/>
                <w:b/>
                <w:bCs/>
                <w:color w:val="000000"/>
                <w:sz w:val="16"/>
                <w:szCs w:val="16"/>
              </w:rPr>
              <w:t>3</w:t>
            </w:r>
            <w:r w:rsidRPr="00AA5765">
              <w:rPr>
                <w:rFonts w:ascii="Calibri" w:eastAsia="Times New Roman" w:hAnsi="Calibri" w:cs="Calibri"/>
                <w:b/>
                <w:bCs/>
                <w:color w:val="000000"/>
                <w:sz w:val="32"/>
                <w:szCs w:val="32"/>
              </w:rPr>
              <w:t>, Rayan A. Aml</w:t>
            </w:r>
            <w:r w:rsidRPr="00AA5765">
              <w:rPr>
                <w:rFonts w:ascii="Calibri" w:eastAsia="Times New Roman" w:hAnsi="Calibri" w:cs="Calibri"/>
                <w:b/>
                <w:bCs/>
                <w:color w:val="000000"/>
                <w:sz w:val="16"/>
                <w:szCs w:val="16"/>
              </w:rPr>
              <w:t>4</w:t>
            </w:r>
            <w:r w:rsidRPr="00AA5765">
              <w:rPr>
                <w:rFonts w:ascii="Calibri" w:eastAsia="Times New Roman" w:hAnsi="Calibri" w:cs="Calibri"/>
                <w:b/>
                <w:bCs/>
                <w:color w:val="000000"/>
                <w:sz w:val="32"/>
                <w:szCs w:val="32"/>
              </w:rPr>
              <w:t>, and Ahmed S. Gomaa</w:t>
            </w:r>
            <w:r w:rsidRPr="00AA5765">
              <w:rPr>
                <w:rFonts w:ascii="Calibri" w:eastAsia="Times New Roman" w:hAnsi="Calibri" w:cs="Calibri"/>
                <w:b/>
                <w:bCs/>
                <w:color w:val="000000"/>
                <w:sz w:val="16"/>
                <w:szCs w:val="16"/>
              </w:rPr>
              <w:t>1</w:t>
            </w:r>
          </w:p>
        </w:tc>
      </w:tr>
    </w:tbl>
    <w:p w:rsidR="00AA5765" w:rsidRPr="00AA5765" w:rsidRDefault="00AA5765" w:rsidP="00AA5765">
      <w:pPr>
        <w:spacing w:after="0" w:line="240" w:lineRule="auto"/>
        <w:rPr>
          <w:rFonts w:ascii="Times New Roman" w:eastAsia="Times New Roman" w:hAnsi="Times New Roman" w:cs="Times New Roman"/>
          <w:vanish/>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sz w:val="14"/>
                <w:szCs w:val="14"/>
              </w:rPr>
              <w:t xml:space="preserve">1 </w:t>
            </w:r>
            <w:r w:rsidRPr="00AA5765">
              <w:rPr>
                <w:rFonts w:ascii="Calibri" w:eastAsia="Times New Roman" w:hAnsi="Calibri" w:cs="Calibri"/>
                <w:color w:val="000000"/>
                <w:sz w:val="20"/>
                <w:szCs w:val="20"/>
              </w:rPr>
              <w:t>Department of Dermatology, Faculty of Medicine, Assiut University, Assiut, Egypt.</w:t>
            </w:r>
            <w:r w:rsidRPr="00AA5765">
              <w:rPr>
                <w:rFonts w:ascii="Calibri" w:eastAsia="Times New Roman" w:hAnsi="Calibri" w:cs="Calibri"/>
                <w:color w:val="000000"/>
                <w:sz w:val="14"/>
                <w:szCs w:val="14"/>
              </w:rPr>
              <w:t xml:space="preserve">2 </w:t>
            </w:r>
            <w:r w:rsidRPr="00AA5765">
              <w:rPr>
                <w:rFonts w:ascii="Calibri" w:eastAsia="Times New Roman" w:hAnsi="Calibri" w:cs="Calibri"/>
                <w:color w:val="000000"/>
                <w:sz w:val="20"/>
                <w:szCs w:val="20"/>
              </w:rPr>
              <w:t>Department of Medical Biochemistry, Faculty of Medicine, Assiut University, Assiut, Egypt.</w:t>
            </w:r>
            <w:r w:rsidRPr="00AA5765">
              <w:rPr>
                <w:rFonts w:ascii="Calibri" w:eastAsia="Times New Roman" w:hAnsi="Calibri" w:cs="Calibri"/>
                <w:color w:val="000000"/>
                <w:sz w:val="14"/>
                <w:szCs w:val="14"/>
              </w:rPr>
              <w:t xml:space="preserve">3 </w:t>
            </w:r>
            <w:r w:rsidRPr="00AA5765">
              <w:rPr>
                <w:rFonts w:ascii="Calibri" w:eastAsia="Times New Roman" w:hAnsi="Calibri" w:cs="Calibri"/>
                <w:color w:val="000000"/>
                <w:sz w:val="20"/>
                <w:szCs w:val="20"/>
              </w:rPr>
              <w:t>Department of Medical Microbiology &amp; Immunology, Faculty of Medicine, Assiut University, Assiut, Egypt.</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sz w:val="14"/>
                <w:szCs w:val="14"/>
              </w:rPr>
              <w:t xml:space="preserve">4 </w:t>
            </w:r>
            <w:r w:rsidRPr="00AA5765">
              <w:rPr>
                <w:rFonts w:ascii="Calibri" w:eastAsia="Times New Roman" w:hAnsi="Calibri" w:cs="Calibri"/>
                <w:color w:val="000000"/>
                <w:sz w:val="20"/>
                <w:szCs w:val="20"/>
              </w:rPr>
              <w:t xml:space="preserve">Department of Clinical Pathology, Faculty of Medicine, Assiut University, Assiut, </w:t>
            </w:r>
            <w:proofErr w:type="spellStart"/>
            <w:r w:rsidRPr="00AA5765">
              <w:rPr>
                <w:rFonts w:ascii="Calibri" w:eastAsia="Times New Roman" w:hAnsi="Calibri" w:cs="Calibri"/>
                <w:color w:val="000000"/>
                <w:sz w:val="20"/>
                <w:szCs w:val="20"/>
              </w:rPr>
              <w:t>Egypt.</w:t>
            </w:r>
            <w:r w:rsidRPr="00AA5765">
              <w:rPr>
                <w:rFonts w:ascii="Calibri" w:eastAsia="Times New Roman" w:hAnsi="Calibri" w:cs="Calibri"/>
                <w:b/>
                <w:bCs/>
                <w:color w:val="000000"/>
                <w:sz w:val="20"/>
                <w:szCs w:val="20"/>
              </w:rPr>
              <w:t>Corresponding</w:t>
            </w:r>
            <w:proofErr w:type="spellEnd"/>
            <w:r w:rsidRPr="00AA5765">
              <w:rPr>
                <w:rFonts w:ascii="Calibri" w:eastAsia="Times New Roman" w:hAnsi="Calibri" w:cs="Calibri"/>
                <w:b/>
                <w:bCs/>
                <w:color w:val="000000"/>
                <w:sz w:val="20"/>
                <w:szCs w:val="20"/>
              </w:rPr>
              <w:t xml:space="preserve"> author: </w:t>
            </w:r>
            <w:r w:rsidRPr="00AA5765">
              <w:rPr>
                <w:rFonts w:ascii="Calibri" w:eastAsia="Times New Roman" w:hAnsi="Calibri" w:cs="Calibri"/>
                <w:color w:val="000000"/>
                <w:sz w:val="20"/>
                <w:szCs w:val="20"/>
              </w:rPr>
              <w:t>Sara A. Atta, Department of Medical Biochemistry, Faculty of Medicine, Assiut University, Assiut, Egypt. Email: Saraatta@aun.edu.eg</w:t>
            </w:r>
          </w:p>
        </w:tc>
      </w:tr>
    </w:tbl>
    <w:p w:rsidR="00AA5765" w:rsidRPr="00AA5765" w:rsidRDefault="00AA5765" w:rsidP="00AA5765">
      <w:pPr>
        <w:spacing w:after="0" w:line="240" w:lineRule="auto"/>
        <w:rPr>
          <w:rFonts w:ascii="Calibri" w:eastAsia="Times New Roman" w:hAnsi="Calibri" w:cs="Calibri"/>
          <w:b/>
          <w:bCs/>
          <w:color w:val="000000"/>
          <w:sz w:val="24"/>
          <w:szCs w:val="24"/>
        </w:rPr>
      </w:pPr>
      <w:r w:rsidRPr="00AA5765">
        <w:rPr>
          <w:rFonts w:ascii="Calibri" w:eastAsia="Times New Roman" w:hAnsi="Calibri" w:cs="Calibri"/>
          <w:b/>
          <w:bCs/>
          <w:color w:val="000000"/>
          <w:sz w:val="32"/>
          <w:szCs w:val="32"/>
        </w:rPr>
        <w:t>Abstract</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Cytokines play a major role in the pathogenesis and progression of psoriasis. Interleukin (IL)-30 is a multifunctional cytokine. It binds to glycoprotein 130 (GP130) and inhibits the GP130 signaling pathways of psoriasis associated cytokines such as IL-6, IL-11, and IL-27. The study intended to assess associations of IL-30 and GP130 with the risk of psoriasis and Psoriasis Area Severity Index (PASI) score. Therefore, we measured the serum levels of IL-30 and GP130 in psoriasis patients and in a control group. An enzyme linked immunosorbent assay (ELISA) technique was used to measure IL-30 and GP130 levels in the serum of 43 patients and 43 normal controls. Statistical analysis of IL-30 and GP130 serum levels among patients and control groups and their correlation with PASI scores were performed. IL-30 serum levels showed a significant increase in patients with psoriasis compared with controls (</w:t>
      </w:r>
      <w:r w:rsidRPr="00AA5765">
        <w:rPr>
          <w:rFonts w:ascii="Calibri" w:eastAsia="Times New Roman" w:hAnsi="Calibri" w:cs="Calibri"/>
          <w:i/>
          <w:iCs/>
          <w:color w:val="000000"/>
        </w:rPr>
        <w:t>p</w:t>
      </w:r>
      <w:r w:rsidRPr="00AA5765">
        <w:rPr>
          <w:rFonts w:ascii="Calibri" w:eastAsia="Times New Roman" w:hAnsi="Calibri" w:cs="Calibri"/>
          <w:color w:val="000000"/>
        </w:rPr>
        <w:t>&lt;0.001) and a positive correlation with PASI scores. While serum levels of GP130 were not different in psoriatic patients and in the control group. Furthermore, the receiver operating characteristic (ROC) curve showed that IL-30 had diagnostic ability for prediction of psoriasis in comparison to controls, at cut of point of &gt;14.34 showed a sensitivity of 97.7%, 100% specificity. In conclusion, IL-30 was elevated in psoriasis patients than controls, therefore, it can be considered a sensitive biomarker for diagnosis of psoriasis.</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b/>
          <w:bCs/>
          <w:color w:val="000000"/>
          <w:sz w:val="20"/>
          <w:szCs w:val="20"/>
        </w:rPr>
        <w:t xml:space="preserve">Keywords: </w:t>
      </w:r>
      <w:r w:rsidRPr="00AA5765">
        <w:rPr>
          <w:rFonts w:ascii="Calibri" w:eastAsia="Times New Roman" w:hAnsi="Calibri" w:cs="Calibri"/>
          <w:color w:val="000000"/>
          <w:sz w:val="20"/>
          <w:szCs w:val="20"/>
        </w:rPr>
        <w:t>Psoriasis, IL30, GP130</w:t>
      </w:r>
    </w:p>
    <w:p w:rsidR="00AA5765" w:rsidRDefault="00AA5765" w:rsidP="00AA5765">
      <w:pPr>
        <w:spacing w:after="0" w:line="240" w:lineRule="auto"/>
        <w:rPr>
          <w:rFonts w:ascii="Calibri" w:eastAsia="Times New Roman" w:hAnsi="Calibri" w:cs="Calibri"/>
          <w:color w:val="000000"/>
          <w:sz w:val="18"/>
          <w:szCs w:val="18"/>
        </w:rPr>
      </w:pPr>
      <w:r w:rsidRPr="00AA5765">
        <w:rPr>
          <w:rFonts w:ascii="Calibri" w:eastAsia="Times New Roman" w:hAnsi="Calibri" w:cs="Calibri"/>
          <w:b/>
          <w:bCs/>
          <w:color w:val="000000"/>
          <w:sz w:val="18"/>
          <w:szCs w:val="18"/>
        </w:rPr>
        <w:t>Date received</w:t>
      </w:r>
      <w:r w:rsidRPr="00AA5765">
        <w:rPr>
          <w:rFonts w:ascii="Calibri" w:eastAsia="Times New Roman" w:hAnsi="Calibri" w:cs="Calibri"/>
          <w:color w:val="000000"/>
          <w:sz w:val="18"/>
          <w:szCs w:val="18"/>
        </w:rPr>
        <w:t xml:space="preserve">: 19 June 2023; </w:t>
      </w:r>
      <w:r w:rsidRPr="00AA5765">
        <w:rPr>
          <w:rFonts w:ascii="Calibri" w:eastAsia="Times New Roman" w:hAnsi="Calibri" w:cs="Calibri"/>
          <w:b/>
          <w:bCs/>
          <w:color w:val="000000"/>
          <w:sz w:val="18"/>
          <w:szCs w:val="18"/>
        </w:rPr>
        <w:t xml:space="preserve">accepted: </w:t>
      </w:r>
      <w:r w:rsidRPr="00AA5765">
        <w:rPr>
          <w:rFonts w:ascii="Calibri" w:eastAsia="Times New Roman" w:hAnsi="Calibri" w:cs="Calibri"/>
          <w:color w:val="000000"/>
          <w:sz w:val="18"/>
          <w:szCs w:val="18"/>
        </w:rPr>
        <w:t>23 February 2024</w:t>
      </w:r>
    </w:p>
    <w:p w:rsidR="00EE57B8" w:rsidRDefault="00EE57B8" w:rsidP="00AA5765">
      <w:pPr>
        <w:spacing w:after="0" w:line="240" w:lineRule="auto"/>
        <w:rPr>
          <w:rFonts w:ascii="Calibri" w:eastAsia="Times New Roman" w:hAnsi="Calibri" w:cs="Calibri"/>
          <w:color w:val="000000"/>
          <w:sz w:val="18"/>
          <w:szCs w:val="18"/>
        </w:rPr>
      </w:pPr>
    </w:p>
    <w:p w:rsidR="00EE57B8" w:rsidRDefault="00EE57B8" w:rsidP="00AA5765">
      <w:pPr>
        <w:spacing w:after="0" w:line="240" w:lineRule="auto"/>
        <w:rPr>
          <w:rFonts w:ascii="Calibri" w:eastAsia="Times New Roman" w:hAnsi="Calibri" w:cs="Calibri"/>
          <w:color w:val="000000"/>
          <w:sz w:val="18"/>
          <w:szCs w:val="18"/>
        </w:rPr>
      </w:pPr>
    </w:p>
    <w:p w:rsidR="00EE57B8" w:rsidRDefault="00EE57B8" w:rsidP="00AA5765">
      <w:pPr>
        <w:spacing w:after="0" w:line="240" w:lineRule="auto"/>
        <w:rPr>
          <w:rFonts w:ascii="Calibri" w:eastAsia="Times New Roman" w:hAnsi="Calibri" w:cs="Calibri"/>
          <w:color w:val="000000"/>
          <w:sz w:val="18"/>
          <w:szCs w:val="18"/>
        </w:rPr>
      </w:pPr>
    </w:p>
    <w:p w:rsidR="00EE57B8" w:rsidRPr="00EE57B8" w:rsidRDefault="00EE57B8" w:rsidP="00EE57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42"/>
          <w:szCs w:val="42"/>
        </w:rPr>
      </w:pPr>
      <w:r w:rsidRPr="00EE57B8">
        <w:rPr>
          <w:rFonts w:ascii="inherit" w:eastAsia="Times New Roman" w:hAnsi="inherit" w:cs="Courier New" w:hint="cs"/>
          <w:color w:val="202124"/>
          <w:sz w:val="42"/>
          <w:szCs w:val="42"/>
          <w:rtl/>
          <w:lang w:bidi="ar"/>
        </w:rPr>
        <w:lastRenderedPageBreak/>
        <w:t xml:space="preserve">تلعب السيتوكينات دورًا رئيسيًا في التسبب في مرض الصدفية وتطوره. إنترلوكين </w:t>
      </w:r>
      <w:r w:rsidRPr="00EE57B8">
        <w:rPr>
          <w:rFonts w:ascii="inherit" w:eastAsia="Times New Roman" w:hAnsi="inherit" w:cs="Courier New" w:hint="cs"/>
          <w:color w:val="202124"/>
          <w:sz w:val="42"/>
          <w:szCs w:val="42"/>
          <w:lang w:bidi="ar"/>
        </w:rPr>
        <w:t>(IL)-30</w:t>
      </w:r>
      <w:r w:rsidRPr="00EE57B8">
        <w:rPr>
          <w:rFonts w:ascii="inherit" w:eastAsia="Times New Roman" w:hAnsi="inherit" w:cs="Courier New" w:hint="cs"/>
          <w:color w:val="202124"/>
          <w:sz w:val="42"/>
          <w:szCs w:val="42"/>
          <w:rtl/>
          <w:lang w:bidi="ar"/>
        </w:rPr>
        <w:t xml:space="preserve"> هو سيتوكين متعدد الوظائف. يرتبط بالبروتين السكري 130 (</w:t>
      </w:r>
      <w:r w:rsidRPr="00EE57B8">
        <w:rPr>
          <w:rFonts w:ascii="inherit" w:eastAsia="Times New Roman" w:hAnsi="inherit" w:cs="Courier New" w:hint="cs"/>
          <w:color w:val="202124"/>
          <w:sz w:val="42"/>
          <w:szCs w:val="42"/>
          <w:lang w:bidi="ar"/>
        </w:rPr>
        <w:t>GP130</w:t>
      </w:r>
      <w:r w:rsidRPr="00EE57B8">
        <w:rPr>
          <w:rFonts w:ascii="inherit" w:eastAsia="Times New Roman" w:hAnsi="inherit" w:cs="Courier New" w:hint="cs"/>
          <w:color w:val="202124"/>
          <w:sz w:val="42"/>
          <w:szCs w:val="42"/>
          <w:rtl/>
          <w:lang w:bidi="ar"/>
        </w:rPr>
        <w:t xml:space="preserve">) ويمنع مسارات إشارات </w:t>
      </w:r>
      <w:r w:rsidRPr="00EE57B8">
        <w:rPr>
          <w:rFonts w:ascii="inherit" w:eastAsia="Times New Roman" w:hAnsi="inherit" w:cs="Courier New" w:hint="cs"/>
          <w:color w:val="202124"/>
          <w:sz w:val="42"/>
          <w:szCs w:val="42"/>
          <w:lang w:bidi="ar"/>
        </w:rPr>
        <w:t>GP130</w:t>
      </w:r>
      <w:r w:rsidRPr="00EE57B8">
        <w:rPr>
          <w:rFonts w:ascii="inherit" w:eastAsia="Times New Roman" w:hAnsi="inherit" w:cs="Courier New" w:hint="cs"/>
          <w:color w:val="202124"/>
          <w:sz w:val="42"/>
          <w:szCs w:val="42"/>
          <w:rtl/>
          <w:lang w:bidi="ar"/>
        </w:rPr>
        <w:t xml:space="preserve"> للسيتوكينات المرتبطة بالصدفية مثل </w:t>
      </w:r>
      <w:r w:rsidRPr="00EE57B8">
        <w:rPr>
          <w:rFonts w:ascii="inherit" w:eastAsia="Times New Roman" w:hAnsi="inherit" w:cs="Courier New" w:hint="cs"/>
          <w:color w:val="202124"/>
          <w:sz w:val="42"/>
          <w:szCs w:val="42"/>
          <w:lang w:bidi="ar"/>
        </w:rPr>
        <w:t>IL-6</w:t>
      </w:r>
      <w:r w:rsidRPr="00EE57B8">
        <w:rPr>
          <w:rFonts w:ascii="inherit" w:eastAsia="Times New Roman" w:hAnsi="inherit" w:cs="Courier New" w:hint="cs"/>
          <w:color w:val="202124"/>
          <w:sz w:val="42"/>
          <w:szCs w:val="42"/>
          <w:rtl/>
          <w:lang w:bidi="ar"/>
        </w:rPr>
        <w:t xml:space="preserve"> و</w:t>
      </w:r>
      <w:r w:rsidRPr="00EE57B8">
        <w:rPr>
          <w:rFonts w:ascii="inherit" w:eastAsia="Times New Roman" w:hAnsi="inherit" w:cs="Courier New" w:hint="cs"/>
          <w:color w:val="202124"/>
          <w:sz w:val="42"/>
          <w:szCs w:val="42"/>
          <w:lang w:bidi="ar"/>
        </w:rPr>
        <w:t>IL-11</w:t>
      </w:r>
      <w:r w:rsidRPr="00EE57B8">
        <w:rPr>
          <w:rFonts w:ascii="inherit" w:eastAsia="Times New Roman" w:hAnsi="inherit" w:cs="Courier New" w:hint="cs"/>
          <w:color w:val="202124"/>
          <w:sz w:val="42"/>
          <w:szCs w:val="42"/>
          <w:rtl/>
          <w:lang w:bidi="ar"/>
        </w:rPr>
        <w:t xml:space="preserve"> و</w:t>
      </w:r>
      <w:r w:rsidRPr="00EE57B8">
        <w:rPr>
          <w:rFonts w:ascii="inherit" w:eastAsia="Times New Roman" w:hAnsi="inherit" w:cs="Courier New" w:hint="cs"/>
          <w:color w:val="202124"/>
          <w:sz w:val="42"/>
          <w:szCs w:val="42"/>
          <w:lang w:bidi="ar"/>
        </w:rPr>
        <w:t>IL-27</w:t>
      </w:r>
      <w:r w:rsidRPr="00EE57B8">
        <w:rPr>
          <w:rFonts w:ascii="inherit" w:eastAsia="Times New Roman" w:hAnsi="inherit" w:cs="Courier New" w:hint="cs"/>
          <w:color w:val="202124"/>
          <w:sz w:val="42"/>
          <w:szCs w:val="42"/>
          <w:rtl/>
          <w:lang w:bidi="ar"/>
        </w:rPr>
        <w:t xml:space="preserve">. تهدف الدراسة إلى تقييم ارتباطات </w:t>
      </w:r>
      <w:r w:rsidRPr="00EE57B8">
        <w:rPr>
          <w:rFonts w:ascii="inherit" w:eastAsia="Times New Roman" w:hAnsi="inherit" w:cs="Courier New" w:hint="cs"/>
          <w:color w:val="202124"/>
          <w:sz w:val="42"/>
          <w:szCs w:val="42"/>
          <w:lang w:bidi="ar"/>
        </w:rPr>
        <w:t>IL-30</w:t>
      </w:r>
      <w:r w:rsidRPr="00EE57B8">
        <w:rPr>
          <w:rFonts w:ascii="inherit" w:eastAsia="Times New Roman" w:hAnsi="inherit" w:cs="Courier New" w:hint="cs"/>
          <w:color w:val="202124"/>
          <w:sz w:val="42"/>
          <w:szCs w:val="42"/>
          <w:rtl/>
          <w:lang w:bidi="ar"/>
        </w:rPr>
        <w:t xml:space="preserve"> و</w:t>
      </w:r>
      <w:r w:rsidRPr="00EE57B8">
        <w:rPr>
          <w:rFonts w:ascii="inherit" w:eastAsia="Times New Roman" w:hAnsi="inherit" w:cs="Courier New" w:hint="cs"/>
          <w:color w:val="202124"/>
          <w:sz w:val="42"/>
          <w:szCs w:val="42"/>
          <w:lang w:bidi="ar"/>
        </w:rPr>
        <w:t>GP130</w:t>
      </w:r>
      <w:r w:rsidRPr="00EE57B8">
        <w:rPr>
          <w:rFonts w:ascii="inherit" w:eastAsia="Times New Roman" w:hAnsi="inherit" w:cs="Courier New" w:hint="cs"/>
          <w:color w:val="202124"/>
          <w:sz w:val="42"/>
          <w:szCs w:val="42"/>
          <w:rtl/>
          <w:lang w:bidi="ar"/>
        </w:rPr>
        <w:t xml:space="preserve"> مع خطر الإصابة بالصدفية ودرجة مؤشر خطورة منطقة الصدفية (</w:t>
      </w:r>
      <w:r w:rsidRPr="00EE57B8">
        <w:rPr>
          <w:rFonts w:ascii="inherit" w:eastAsia="Times New Roman" w:hAnsi="inherit" w:cs="Courier New" w:hint="cs"/>
          <w:color w:val="202124"/>
          <w:sz w:val="42"/>
          <w:szCs w:val="42"/>
          <w:lang w:bidi="ar"/>
        </w:rPr>
        <w:t>PASI</w:t>
      </w:r>
      <w:r w:rsidRPr="00EE57B8">
        <w:rPr>
          <w:rFonts w:ascii="inherit" w:eastAsia="Times New Roman" w:hAnsi="inherit" w:cs="Courier New" w:hint="cs"/>
          <w:color w:val="202124"/>
          <w:sz w:val="42"/>
          <w:szCs w:val="42"/>
          <w:rtl/>
          <w:lang w:bidi="ar"/>
        </w:rPr>
        <w:t xml:space="preserve">). لذلك، قمنا بقياس مستويات مصل </w:t>
      </w:r>
      <w:r w:rsidRPr="00EE57B8">
        <w:rPr>
          <w:rFonts w:ascii="inherit" w:eastAsia="Times New Roman" w:hAnsi="inherit" w:cs="Courier New" w:hint="cs"/>
          <w:color w:val="202124"/>
          <w:sz w:val="42"/>
          <w:szCs w:val="42"/>
          <w:lang w:bidi="ar"/>
        </w:rPr>
        <w:t>IL-30</w:t>
      </w:r>
      <w:r w:rsidRPr="00EE57B8">
        <w:rPr>
          <w:rFonts w:ascii="inherit" w:eastAsia="Times New Roman" w:hAnsi="inherit" w:cs="Courier New" w:hint="cs"/>
          <w:color w:val="202124"/>
          <w:sz w:val="42"/>
          <w:szCs w:val="42"/>
          <w:rtl/>
          <w:lang w:bidi="ar"/>
        </w:rPr>
        <w:t xml:space="preserve"> و</w:t>
      </w:r>
      <w:r w:rsidRPr="00EE57B8">
        <w:rPr>
          <w:rFonts w:ascii="inherit" w:eastAsia="Times New Roman" w:hAnsi="inherit" w:cs="Courier New" w:hint="cs"/>
          <w:color w:val="202124"/>
          <w:sz w:val="42"/>
          <w:szCs w:val="42"/>
          <w:lang w:bidi="ar"/>
        </w:rPr>
        <w:t>GP130</w:t>
      </w:r>
      <w:r w:rsidRPr="00EE57B8">
        <w:rPr>
          <w:rFonts w:ascii="inherit" w:eastAsia="Times New Roman" w:hAnsi="inherit" w:cs="Courier New" w:hint="cs"/>
          <w:color w:val="202124"/>
          <w:sz w:val="42"/>
          <w:szCs w:val="42"/>
          <w:rtl/>
          <w:lang w:bidi="ar"/>
        </w:rPr>
        <w:t xml:space="preserve"> لدى مرضى الصدفية وفي مجموعة المراقبة. تم استخدام تقنية مقايسة الممتز المناعي المرتبط بالإنزيم (</w:t>
      </w:r>
      <w:r w:rsidRPr="00EE57B8">
        <w:rPr>
          <w:rFonts w:ascii="inherit" w:eastAsia="Times New Roman" w:hAnsi="inherit" w:cs="Courier New" w:hint="cs"/>
          <w:color w:val="202124"/>
          <w:sz w:val="42"/>
          <w:szCs w:val="42"/>
          <w:lang w:bidi="ar"/>
        </w:rPr>
        <w:t>ELISA</w:t>
      </w:r>
      <w:r w:rsidRPr="00EE57B8">
        <w:rPr>
          <w:rFonts w:ascii="inherit" w:eastAsia="Times New Roman" w:hAnsi="inherit" w:cs="Courier New" w:hint="cs"/>
          <w:color w:val="202124"/>
          <w:sz w:val="42"/>
          <w:szCs w:val="42"/>
          <w:rtl/>
          <w:lang w:bidi="ar"/>
        </w:rPr>
        <w:t xml:space="preserve">) لقياس مستويات </w:t>
      </w:r>
      <w:r w:rsidRPr="00EE57B8">
        <w:rPr>
          <w:rFonts w:ascii="inherit" w:eastAsia="Times New Roman" w:hAnsi="inherit" w:cs="Courier New" w:hint="cs"/>
          <w:color w:val="202124"/>
          <w:sz w:val="42"/>
          <w:szCs w:val="42"/>
          <w:lang w:bidi="ar"/>
        </w:rPr>
        <w:t>IL-30</w:t>
      </w:r>
      <w:r w:rsidRPr="00EE57B8">
        <w:rPr>
          <w:rFonts w:ascii="inherit" w:eastAsia="Times New Roman" w:hAnsi="inherit" w:cs="Courier New" w:hint="cs"/>
          <w:color w:val="202124"/>
          <w:sz w:val="42"/>
          <w:szCs w:val="42"/>
          <w:rtl/>
          <w:lang w:bidi="ar"/>
        </w:rPr>
        <w:t xml:space="preserve"> و</w:t>
      </w:r>
      <w:r w:rsidRPr="00EE57B8">
        <w:rPr>
          <w:rFonts w:ascii="inherit" w:eastAsia="Times New Roman" w:hAnsi="inherit" w:cs="Courier New" w:hint="cs"/>
          <w:color w:val="202124"/>
          <w:sz w:val="42"/>
          <w:szCs w:val="42"/>
          <w:lang w:bidi="ar"/>
        </w:rPr>
        <w:t>GP130</w:t>
      </w:r>
      <w:r w:rsidRPr="00EE57B8">
        <w:rPr>
          <w:rFonts w:ascii="inherit" w:eastAsia="Times New Roman" w:hAnsi="inherit" w:cs="Courier New" w:hint="cs"/>
          <w:color w:val="202124"/>
          <w:sz w:val="42"/>
          <w:szCs w:val="42"/>
          <w:rtl/>
          <w:lang w:bidi="ar"/>
        </w:rPr>
        <w:t xml:space="preserve"> في مصل 43 مريضًا و43 شخصًا طبيعيًا. تم إجراء التحليل الإحصائي لمستويات المصل </w:t>
      </w:r>
      <w:r w:rsidRPr="00EE57B8">
        <w:rPr>
          <w:rFonts w:ascii="inherit" w:eastAsia="Times New Roman" w:hAnsi="inherit" w:cs="Courier New" w:hint="cs"/>
          <w:color w:val="202124"/>
          <w:sz w:val="42"/>
          <w:szCs w:val="42"/>
          <w:lang w:bidi="ar"/>
        </w:rPr>
        <w:t>IL-30</w:t>
      </w:r>
      <w:r w:rsidRPr="00EE57B8">
        <w:rPr>
          <w:rFonts w:ascii="inherit" w:eastAsia="Times New Roman" w:hAnsi="inherit" w:cs="Courier New" w:hint="cs"/>
          <w:color w:val="202124"/>
          <w:sz w:val="42"/>
          <w:szCs w:val="42"/>
          <w:rtl/>
          <w:lang w:bidi="ar"/>
        </w:rPr>
        <w:t xml:space="preserve"> و</w:t>
      </w:r>
      <w:r w:rsidRPr="00EE57B8">
        <w:rPr>
          <w:rFonts w:ascii="inherit" w:eastAsia="Times New Roman" w:hAnsi="inherit" w:cs="Courier New" w:hint="cs"/>
          <w:color w:val="202124"/>
          <w:sz w:val="42"/>
          <w:szCs w:val="42"/>
          <w:lang w:bidi="ar"/>
        </w:rPr>
        <w:t>GP130</w:t>
      </w:r>
      <w:r w:rsidRPr="00EE57B8">
        <w:rPr>
          <w:rFonts w:ascii="inherit" w:eastAsia="Times New Roman" w:hAnsi="inherit" w:cs="Courier New" w:hint="cs"/>
          <w:color w:val="202124"/>
          <w:sz w:val="42"/>
          <w:szCs w:val="42"/>
          <w:rtl/>
          <w:lang w:bidi="ar"/>
        </w:rPr>
        <w:t xml:space="preserve"> بين المرضى ومجموعات المراقبة وارتباطها مع درجات </w:t>
      </w:r>
      <w:r w:rsidRPr="00EE57B8">
        <w:rPr>
          <w:rFonts w:ascii="inherit" w:eastAsia="Times New Roman" w:hAnsi="inherit" w:cs="Courier New" w:hint="cs"/>
          <w:color w:val="202124"/>
          <w:sz w:val="42"/>
          <w:szCs w:val="42"/>
          <w:lang w:bidi="ar"/>
        </w:rPr>
        <w:t>PASI</w:t>
      </w:r>
      <w:r w:rsidRPr="00EE57B8">
        <w:rPr>
          <w:rFonts w:ascii="inherit" w:eastAsia="Times New Roman" w:hAnsi="inherit" w:cs="Courier New" w:hint="cs"/>
          <w:color w:val="202124"/>
          <w:sz w:val="42"/>
          <w:szCs w:val="42"/>
          <w:rtl/>
          <w:lang w:bidi="ar"/>
        </w:rPr>
        <w:t xml:space="preserve">. أظهرت مستويات مصل </w:t>
      </w:r>
      <w:r w:rsidRPr="00EE57B8">
        <w:rPr>
          <w:rFonts w:ascii="inherit" w:eastAsia="Times New Roman" w:hAnsi="inherit" w:cs="Courier New" w:hint="cs"/>
          <w:color w:val="202124"/>
          <w:sz w:val="42"/>
          <w:szCs w:val="42"/>
          <w:lang w:bidi="ar"/>
        </w:rPr>
        <w:t>IL-30</w:t>
      </w:r>
      <w:r w:rsidRPr="00EE57B8">
        <w:rPr>
          <w:rFonts w:ascii="inherit" w:eastAsia="Times New Roman" w:hAnsi="inherit" w:cs="Courier New" w:hint="cs"/>
          <w:color w:val="202124"/>
          <w:sz w:val="42"/>
          <w:szCs w:val="42"/>
          <w:rtl/>
          <w:lang w:bidi="ar"/>
        </w:rPr>
        <w:t xml:space="preserve"> زيادة ملحوظة في مرضى الصدفية مقارنة مع مجموعة التحكم (</w:t>
      </w:r>
      <w:r w:rsidRPr="00EE57B8">
        <w:rPr>
          <w:rFonts w:ascii="inherit" w:eastAsia="Times New Roman" w:hAnsi="inherit" w:cs="Courier New" w:hint="cs"/>
          <w:color w:val="202124"/>
          <w:sz w:val="42"/>
          <w:szCs w:val="42"/>
          <w:lang w:bidi="ar"/>
        </w:rPr>
        <w:t>P</w:t>
      </w:r>
      <w:r w:rsidRPr="00EE57B8">
        <w:rPr>
          <w:rFonts w:ascii="inherit" w:eastAsia="Times New Roman" w:hAnsi="inherit" w:cs="Courier New" w:hint="cs"/>
          <w:color w:val="202124"/>
          <w:sz w:val="42"/>
          <w:szCs w:val="42"/>
          <w:rtl/>
          <w:lang w:bidi="ar"/>
        </w:rPr>
        <w:t xml:space="preserve"> &lt;0.001) وارتباط إيجابي مع درجات </w:t>
      </w:r>
      <w:r w:rsidRPr="00EE57B8">
        <w:rPr>
          <w:rFonts w:ascii="inherit" w:eastAsia="Times New Roman" w:hAnsi="inherit" w:cs="Courier New" w:hint="cs"/>
          <w:color w:val="202124"/>
          <w:sz w:val="42"/>
          <w:szCs w:val="42"/>
          <w:lang w:bidi="ar"/>
        </w:rPr>
        <w:t>PASI</w:t>
      </w:r>
      <w:r w:rsidRPr="00EE57B8">
        <w:rPr>
          <w:rFonts w:ascii="inherit" w:eastAsia="Times New Roman" w:hAnsi="inherit" w:cs="Courier New" w:hint="cs"/>
          <w:color w:val="202124"/>
          <w:sz w:val="42"/>
          <w:szCs w:val="42"/>
          <w:rtl/>
          <w:lang w:bidi="ar"/>
        </w:rPr>
        <w:t xml:space="preserve">. في حين أن مستويات المصل </w:t>
      </w:r>
      <w:r w:rsidRPr="00EE57B8">
        <w:rPr>
          <w:rFonts w:ascii="inherit" w:eastAsia="Times New Roman" w:hAnsi="inherit" w:cs="Courier New" w:hint="cs"/>
          <w:color w:val="202124"/>
          <w:sz w:val="42"/>
          <w:szCs w:val="42"/>
          <w:lang w:bidi="ar"/>
        </w:rPr>
        <w:t>GP130</w:t>
      </w:r>
      <w:r w:rsidRPr="00EE57B8">
        <w:rPr>
          <w:rFonts w:ascii="inherit" w:eastAsia="Times New Roman" w:hAnsi="inherit" w:cs="Courier New" w:hint="cs"/>
          <w:color w:val="202124"/>
          <w:sz w:val="42"/>
          <w:szCs w:val="42"/>
          <w:rtl/>
          <w:lang w:bidi="ar"/>
        </w:rPr>
        <w:t xml:space="preserve"> لم تكن مختلفة </w:t>
      </w:r>
      <w:r w:rsidRPr="00EE57B8">
        <w:rPr>
          <w:rFonts w:ascii="inherit" w:eastAsia="Times New Roman" w:hAnsi="inherit" w:cs="Courier New" w:hint="cs"/>
          <w:color w:val="202124"/>
          <w:sz w:val="42"/>
          <w:szCs w:val="42"/>
          <w:rtl/>
          <w:lang w:bidi="ar"/>
        </w:rPr>
        <w:lastRenderedPageBreak/>
        <w:t>في مرضى الصدفية وفي المجموعة الضابطة. علاوة على ذلك، أظهر منحنى خاصية تشغيل المستقبِل (</w:t>
      </w:r>
      <w:r w:rsidRPr="00EE57B8">
        <w:rPr>
          <w:rFonts w:ascii="inherit" w:eastAsia="Times New Roman" w:hAnsi="inherit" w:cs="Courier New" w:hint="cs"/>
          <w:color w:val="202124"/>
          <w:sz w:val="42"/>
          <w:szCs w:val="42"/>
          <w:lang w:bidi="ar"/>
        </w:rPr>
        <w:t>ROC</w:t>
      </w:r>
      <w:r w:rsidRPr="00EE57B8">
        <w:rPr>
          <w:rFonts w:ascii="inherit" w:eastAsia="Times New Roman" w:hAnsi="inherit" w:cs="Courier New" w:hint="cs"/>
          <w:color w:val="202124"/>
          <w:sz w:val="42"/>
          <w:szCs w:val="42"/>
          <w:rtl/>
          <w:lang w:bidi="ar"/>
        </w:rPr>
        <w:t xml:space="preserve">) أن </w:t>
      </w:r>
      <w:r w:rsidRPr="00EE57B8">
        <w:rPr>
          <w:rFonts w:ascii="inherit" w:eastAsia="Times New Roman" w:hAnsi="inherit" w:cs="Courier New" w:hint="cs"/>
          <w:color w:val="202124"/>
          <w:sz w:val="42"/>
          <w:szCs w:val="42"/>
          <w:lang w:bidi="ar"/>
        </w:rPr>
        <w:t>IL-30</w:t>
      </w:r>
      <w:r w:rsidRPr="00EE57B8">
        <w:rPr>
          <w:rFonts w:ascii="inherit" w:eastAsia="Times New Roman" w:hAnsi="inherit" w:cs="Courier New" w:hint="cs"/>
          <w:color w:val="202124"/>
          <w:sz w:val="42"/>
          <w:szCs w:val="42"/>
          <w:rtl/>
          <w:lang w:bidi="ar"/>
        </w:rPr>
        <w:t xml:space="preserve"> يتمتع بقدرة تشخيصية للتنبؤ بالصدفية مقارنةً بالضوابط، عند نقطة القطع &gt; 14.34 أظهر حساسية بنسبة 97.7%، ونوعية 100%. في الختام، كان مستوى </w:t>
      </w:r>
      <w:r w:rsidRPr="00EE57B8">
        <w:rPr>
          <w:rFonts w:ascii="inherit" w:eastAsia="Times New Roman" w:hAnsi="inherit" w:cs="Courier New" w:hint="cs"/>
          <w:color w:val="202124"/>
          <w:sz w:val="42"/>
          <w:szCs w:val="42"/>
          <w:lang w:bidi="ar"/>
        </w:rPr>
        <w:t>IL-30</w:t>
      </w:r>
      <w:r w:rsidRPr="00EE57B8">
        <w:rPr>
          <w:rFonts w:ascii="inherit" w:eastAsia="Times New Roman" w:hAnsi="inherit" w:cs="Courier New" w:hint="cs"/>
          <w:color w:val="202124"/>
          <w:sz w:val="42"/>
          <w:szCs w:val="42"/>
          <w:rtl/>
          <w:lang w:bidi="ar"/>
        </w:rPr>
        <w:t xml:space="preserve"> مرتفعا لدى مرضى الصدفية مقارنة بمجموعة السيطرة، وبالتالي يمكن اعتباره علامة حيوية حساسة لتشخيص الصدفية.</w:t>
      </w:r>
    </w:p>
    <w:p w:rsidR="00EE57B8" w:rsidRDefault="00EE57B8" w:rsidP="00AA5765">
      <w:pPr>
        <w:spacing w:after="0" w:line="240" w:lineRule="auto"/>
        <w:rPr>
          <w:rFonts w:ascii="Calibri" w:eastAsia="Times New Roman" w:hAnsi="Calibri" w:cs="Calibri"/>
          <w:color w:val="000000"/>
          <w:sz w:val="18"/>
          <w:szCs w:val="18"/>
        </w:rPr>
      </w:pPr>
      <w:bookmarkStart w:id="0" w:name="_GoBack"/>
      <w:bookmarkEnd w:id="0"/>
    </w:p>
    <w:p w:rsidR="00EE57B8" w:rsidRPr="00AA5765" w:rsidRDefault="00EE57B8" w:rsidP="00AA5765">
      <w:pPr>
        <w:spacing w:after="0" w:line="240" w:lineRule="auto"/>
        <w:rPr>
          <w:rFonts w:ascii="Calibri" w:eastAsia="Times New Roman" w:hAnsi="Calibri" w:cs="Calibri"/>
          <w:color w:val="000000"/>
          <w:sz w:val="18"/>
          <w:szCs w:val="18"/>
        </w:rPr>
      </w:pP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Introduction</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Psoriasis is a common chronic inflammatory skin condition that has indurated, scaly, itchy, and often painful erythematous plaques, characterized by a strong demarcation and spread over the surface of the skin.</w:t>
      </w:r>
      <w:r w:rsidRPr="00AA5765">
        <w:rPr>
          <w:rFonts w:ascii="Calibri" w:eastAsia="Times New Roman" w:hAnsi="Calibri" w:cs="Calibri"/>
          <w:color w:val="000000"/>
          <w:sz w:val="14"/>
          <w:szCs w:val="14"/>
        </w:rPr>
        <w:t xml:space="preserve">1 </w:t>
      </w:r>
      <w:r w:rsidRPr="00AA5765">
        <w:rPr>
          <w:rFonts w:ascii="Calibri" w:eastAsia="Times New Roman" w:hAnsi="Calibri" w:cs="Calibri"/>
          <w:color w:val="000000"/>
        </w:rPr>
        <w:t>In Egypt, varying prevalence estimates ranging from 0.1% to 2% based on the general populations in previous studies with debilitating social and economic impacts.</w:t>
      </w:r>
      <w:r w:rsidRPr="00AA5765">
        <w:rPr>
          <w:rFonts w:ascii="Times New Roman" w:eastAsia="Times New Roman" w:hAnsi="Times New Roman" w:cs="Times New Roman"/>
          <w:color w:val="000000"/>
          <w:sz w:val="14"/>
          <w:szCs w:val="14"/>
        </w:rPr>
        <w:t xml:space="preserve">1 </w:t>
      </w:r>
      <w:r w:rsidRPr="00AA5765">
        <w:rPr>
          <w:rFonts w:ascii="Calibri" w:eastAsia="Times New Roman" w:hAnsi="Calibri" w:cs="Calibri"/>
          <w:color w:val="000000"/>
        </w:rPr>
        <w:t>Psoriasis has an increased risk of co-morbidities, such as psoriatic arthritis, cardiovascular disease, diabetes mellitus, compared to the general population.</w:t>
      </w:r>
      <w:r w:rsidRPr="00AA5765">
        <w:rPr>
          <w:rFonts w:ascii="Calibri" w:eastAsia="Times New Roman" w:hAnsi="Calibri" w:cs="Calibri"/>
          <w:color w:val="000000"/>
          <w:sz w:val="14"/>
          <w:szCs w:val="14"/>
        </w:rPr>
        <w:t>2</w:t>
      </w:r>
    </w:p>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Psoriasis is an autoimmune disorder because of the hyperproliferation of keratinocytes by T</w:t>
      </w:r>
    </w:p>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color w:val="000000"/>
          <w:sz w:val="20"/>
          <w:szCs w:val="20"/>
        </w:rPr>
        <w:t xml:space="preserve">62 </w:t>
      </w:r>
      <w:r w:rsidRPr="00AA5765">
        <w:rPr>
          <w:rFonts w:ascii="Calibri" w:eastAsia="Times New Roman" w:hAnsi="Calibri" w:cs="Calibri"/>
          <w:i/>
          <w:iCs/>
          <w:color w:val="000000"/>
        </w:rPr>
        <w:t>Shehata et al</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cell.</w:t>
      </w:r>
      <w:r w:rsidRPr="00AA5765">
        <w:rPr>
          <w:rFonts w:ascii="Calibri" w:eastAsia="Times New Roman" w:hAnsi="Calibri" w:cs="Calibri"/>
          <w:color w:val="000000"/>
          <w:sz w:val="14"/>
          <w:szCs w:val="14"/>
        </w:rPr>
        <w:t xml:space="preserve">3 </w:t>
      </w:r>
      <w:r w:rsidRPr="00AA5765">
        <w:rPr>
          <w:rFonts w:ascii="Calibri" w:eastAsia="Times New Roman" w:hAnsi="Calibri" w:cs="Calibri"/>
          <w:color w:val="000000"/>
        </w:rPr>
        <w:t>It is believed that type 1 helper T cells and T helper cells 17 (Th1 and Th17, respectively) play an important role in the occurrence and development of psoriasis. Blocking Th1 and Th17 cells hyperproliferation and hyperactivation may be helpful for curing psoriasis.</w:t>
      </w:r>
      <w:r w:rsidRPr="00AA5765">
        <w:rPr>
          <w:rFonts w:ascii="Calibri" w:eastAsia="Times New Roman" w:hAnsi="Calibri" w:cs="Calibri"/>
          <w:color w:val="000000"/>
          <w:sz w:val="14"/>
          <w:szCs w:val="14"/>
        </w:rPr>
        <w:t>4</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Cytokines and cytokine receptors have a broad range of physiological functions and biological activities across multiple tissues and cell types.</w:t>
      </w:r>
      <w:r w:rsidRPr="00AA5765">
        <w:rPr>
          <w:rFonts w:ascii="Calibri" w:eastAsia="Times New Roman" w:hAnsi="Calibri" w:cs="Calibri"/>
          <w:color w:val="000000"/>
          <w:sz w:val="14"/>
          <w:szCs w:val="14"/>
        </w:rPr>
        <w:t xml:space="preserve">5 </w:t>
      </w:r>
      <w:r w:rsidRPr="00AA5765">
        <w:rPr>
          <w:rFonts w:ascii="Calibri" w:eastAsia="Times New Roman" w:hAnsi="Calibri" w:cs="Calibri"/>
          <w:color w:val="000000"/>
        </w:rPr>
        <w:t xml:space="preserve">Elevated expression levels of several inflammatory cytokines in </w:t>
      </w:r>
      <w:proofErr w:type="spellStart"/>
      <w:r w:rsidRPr="00AA5765">
        <w:rPr>
          <w:rFonts w:ascii="Calibri" w:eastAsia="Times New Roman" w:hAnsi="Calibri" w:cs="Calibri"/>
          <w:color w:val="000000"/>
        </w:rPr>
        <w:t>lesional</w:t>
      </w:r>
      <w:proofErr w:type="spellEnd"/>
      <w:r w:rsidRPr="00AA5765">
        <w:rPr>
          <w:rFonts w:ascii="Calibri" w:eastAsia="Times New Roman" w:hAnsi="Calibri" w:cs="Calibri"/>
          <w:color w:val="000000"/>
        </w:rPr>
        <w:t xml:space="preserve"> psoriasis skin together with elevated of their serum concentrations correlate with psoriasis disease severity and explain most of the clinical features of psoriasis, such as the hyperproliferation of keratinocytes, increased neovascularization, and skin inflammation. </w:t>
      </w:r>
      <w:proofErr w:type="gramStart"/>
      <w:r w:rsidRPr="00AA5765">
        <w:rPr>
          <w:rFonts w:ascii="Calibri" w:eastAsia="Times New Roman" w:hAnsi="Calibri" w:cs="Calibri"/>
          <w:color w:val="000000"/>
        </w:rPr>
        <w:t>So</w:t>
      </w:r>
      <w:proofErr w:type="gramEnd"/>
      <w:r w:rsidRPr="00AA5765">
        <w:rPr>
          <w:rFonts w:ascii="Calibri" w:eastAsia="Times New Roman" w:hAnsi="Calibri" w:cs="Calibri"/>
          <w:color w:val="000000"/>
        </w:rPr>
        <w:t xml:space="preserve"> understanding what cytokines play as pivotal role in the disease process may suggest potential therapeutic targets.</w:t>
      </w:r>
      <w:r w:rsidRPr="00AA5765">
        <w:rPr>
          <w:rFonts w:ascii="Calibri" w:eastAsia="Times New Roman" w:hAnsi="Calibri" w:cs="Calibri"/>
          <w:color w:val="000000"/>
          <w:sz w:val="14"/>
          <w:szCs w:val="14"/>
        </w:rPr>
        <w:t>6</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Interleukin (IL)-30 originally identified as IL- 27p28 subunit is a new polypeptide related to IL-12p35. It interacts with the Epstein–Barr virus-induced gene 3 (EBI3) to form IL-27, which modulates the inflammatory responses in autoimmune and infectious diseases.</w:t>
      </w:r>
      <w:r w:rsidRPr="00AA5765">
        <w:rPr>
          <w:rFonts w:ascii="Calibri" w:eastAsia="Times New Roman" w:hAnsi="Calibri" w:cs="Calibri"/>
          <w:color w:val="000000"/>
          <w:sz w:val="14"/>
          <w:szCs w:val="14"/>
        </w:rPr>
        <w:t xml:space="preserve">7 </w:t>
      </w:r>
      <w:r w:rsidRPr="00AA5765">
        <w:rPr>
          <w:rFonts w:ascii="Calibri" w:eastAsia="Times New Roman" w:hAnsi="Calibri" w:cs="Calibri"/>
          <w:color w:val="000000"/>
        </w:rPr>
        <w:t>IL-30, independent of EBI3 is able to modulates the immune response in autoimmune and infectious disease.</w:t>
      </w:r>
      <w:r w:rsidRPr="00AA5765">
        <w:rPr>
          <w:rFonts w:ascii="Calibri" w:eastAsia="Times New Roman" w:hAnsi="Calibri" w:cs="Calibri"/>
          <w:color w:val="000000"/>
          <w:sz w:val="14"/>
          <w:szCs w:val="14"/>
        </w:rPr>
        <w:t xml:space="preserve">8 </w:t>
      </w:r>
      <w:r w:rsidRPr="00AA5765">
        <w:rPr>
          <w:rFonts w:ascii="Calibri" w:eastAsia="Times New Roman" w:hAnsi="Calibri" w:cs="Calibri"/>
          <w:color w:val="000000"/>
        </w:rPr>
        <w:t>IL-30 could antagonize Th1 and Th17 responses and might have therapeutic implications for controlling autoimmune diseases.</w:t>
      </w:r>
      <w:r w:rsidRPr="00AA5765">
        <w:rPr>
          <w:rFonts w:ascii="Calibri" w:eastAsia="Times New Roman" w:hAnsi="Calibri" w:cs="Calibri"/>
          <w:color w:val="000000"/>
          <w:sz w:val="14"/>
          <w:szCs w:val="14"/>
        </w:rPr>
        <w:t>9</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lastRenderedPageBreak/>
        <w:t>Glycoprotein 130 (GP130) is a receptor subunit capable of intracellular signaling that is required for the cellular action of a wide range of cytokines. The most well-known of these is IL- 6. IL-6 and GP130 family of cytokines has been implicated in inflammation and immune response.</w:t>
      </w:r>
      <w:r w:rsidRPr="00AA5765">
        <w:rPr>
          <w:rFonts w:ascii="Calibri" w:eastAsia="Times New Roman" w:hAnsi="Calibri" w:cs="Calibri"/>
          <w:color w:val="000000"/>
          <w:sz w:val="14"/>
          <w:szCs w:val="14"/>
        </w:rPr>
        <w:t>10</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When IL-6 binds to its receptor (IL-6R), the IL-6 and IL-6R complex heterodimerizes with two molecules of GP130, leading to the phosphorylation of GP130 and subsequently activating Janus kinase (JAK) and the signal transducer and activator of transcription 3 (STAT3) factor, which promotes the expression of genes that accelerate proliferation and inhibit apoptosis of the cells.</w:t>
      </w:r>
      <w:r w:rsidRPr="00AA5765">
        <w:rPr>
          <w:rFonts w:ascii="Calibri" w:eastAsia="Times New Roman" w:hAnsi="Calibri" w:cs="Calibri"/>
          <w:color w:val="000000"/>
          <w:sz w:val="14"/>
          <w:szCs w:val="14"/>
        </w:rPr>
        <w:t>11</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 xml:space="preserve">Imbalanced T regulatory/T effector dynamics in psoriasis are mediated by IL-6 signaling events in the </w:t>
      </w:r>
      <w:proofErr w:type="spellStart"/>
      <w:r w:rsidRPr="00AA5765">
        <w:rPr>
          <w:rFonts w:ascii="Calibri" w:eastAsia="Times New Roman" w:hAnsi="Calibri" w:cs="Calibri"/>
          <w:color w:val="000000"/>
        </w:rPr>
        <w:t>lesional</w:t>
      </w:r>
      <w:proofErr w:type="spellEnd"/>
      <w:r w:rsidRPr="00AA5765">
        <w:rPr>
          <w:rFonts w:ascii="Calibri" w:eastAsia="Times New Roman" w:hAnsi="Calibri" w:cs="Calibri"/>
          <w:color w:val="000000"/>
        </w:rPr>
        <w:t xml:space="preserve"> skin, acting on T cell subsets which express the IL-6R and which respond functionally through phosphorylation of the transcription factor STAT3.</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IL-30 acts as a natural antagonist of GP130 signaling by binding to GP130 and inhibiting the signaling of many cytokines such as IL-6, IL-11, and IL-27.</w:t>
      </w:r>
      <w:r w:rsidRPr="00AA5765">
        <w:rPr>
          <w:rFonts w:ascii="Calibri" w:eastAsia="Times New Roman" w:hAnsi="Calibri" w:cs="Calibri"/>
          <w:color w:val="000000"/>
          <w:sz w:val="14"/>
          <w:szCs w:val="14"/>
        </w:rPr>
        <w:t xml:space="preserve">12 </w:t>
      </w:r>
      <w:r w:rsidRPr="00AA5765">
        <w:rPr>
          <w:rFonts w:ascii="Calibri" w:eastAsia="Times New Roman" w:hAnsi="Calibri" w:cs="Calibri"/>
          <w:color w:val="000000"/>
        </w:rPr>
        <w:t>IL-30 also binds to soluble interleukin 6 receptor (IL-6-R), which inhibits the trans-signaling pathway of IL-6 and broadly inhibits inflammatory responses produced by immune cells expressing GP130. Because of the extensive existence of GP130, IL-30 may have extensive functions and may be used as therapeutic target in psoriasis and other autoimmune diseases.</w:t>
      </w:r>
      <w:r w:rsidRPr="00AA5765">
        <w:rPr>
          <w:rFonts w:ascii="Calibri" w:eastAsia="Times New Roman" w:hAnsi="Calibri" w:cs="Calibri"/>
          <w:color w:val="000000"/>
          <w:sz w:val="14"/>
          <w:szCs w:val="14"/>
        </w:rPr>
        <w:t>13</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Therefore, the evaluation of serum IL-30 and GP130 levels in patients with psoriasis might be useful for monitoring the pathology and prognosis of psoriasis. Consequently, this study aimed to determine the IL-30 and GP130 levels in the serum of patients with psoriasis and evaluate its correlations with the severity of the disease.</w:t>
      </w: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Subjects and Methods</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This cross-sectional study included 43 patients aged 18 years or more with clinically confirmed diagnosis of various degrees of plaque-type psoriasis admitted to the Department of Dermatology at Assiut University Hospital between January 2022 and June 2022. Patients on systemic immunosuppressive drugs or chemotherapy, patients with other autoimmune diseases, malignant diseases and pregnant women were excluded from the study. The control group included 43 age- and sex-matched normal participants without family history of psoriasis and free from any autoimmune or chronic diseases. The control group consisted of patients consecutively referred to the Dermatology Outpatient Clinic for cosmetic conditions such as nevi.</w:t>
      </w:r>
    </w:p>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An initial evaluation of the enrolled participants was performed, included demographic data such as age, gender, and background information duration of psoriasis,</w:t>
      </w:r>
    </w:p>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color w:val="000000"/>
          <w:sz w:val="20"/>
          <w:szCs w:val="20"/>
        </w:rPr>
        <w:t xml:space="preserve">63 </w:t>
      </w:r>
      <w:r w:rsidRPr="00AA5765">
        <w:rPr>
          <w:rFonts w:ascii="Calibri" w:eastAsia="Times New Roman" w:hAnsi="Calibri" w:cs="Calibri"/>
          <w:i/>
          <w:iCs/>
          <w:color w:val="000000"/>
        </w:rPr>
        <w:t>The Egyptian Journal of Immunology</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history of chronic disease and previous treatment. Psoriatic patients were divided according to the Psoriasis Area Severity Index (PASI) score into three groups: mild (PASI&lt;10), moderate (PASI 10–29) and severe (PASI&gt;30).</w:t>
      </w:r>
      <w:r w:rsidRPr="00AA5765">
        <w:rPr>
          <w:rFonts w:ascii="Calibri" w:eastAsia="Times New Roman" w:hAnsi="Calibri" w:cs="Calibri"/>
          <w:color w:val="000000"/>
          <w:sz w:val="14"/>
          <w:szCs w:val="14"/>
        </w:rPr>
        <w:t>14</w:t>
      </w:r>
    </w:p>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i/>
          <w:iCs/>
          <w:color w:val="000000"/>
        </w:rPr>
        <w:t>Measurements of serum levels of IL-30 and GP130</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A venous blood sample (3 ml) was aseptically withdrawn from each participant. Blood samples were collected into plain sterile tube, left to clot for 20-30 min at 37°C, centrifuged at 2000 g for 10 minutes then sera separated. Serum samples were stored at -20°C for later use for laboratory assay.</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Determination of IL-30 and GP130 serum levels in both patients and controls were determined by commercially available sandwich enzyme-linked immunosorbent assay (ELISA) kits (Catalogue no. ELK9349 for GP130 and Catalogue no. ELK9351 for IL-30, ELK Biotechnology Co., Ltd, China), according to the manufacturer’s instructions.</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 xml:space="preserve">The optical density of the final ELISA product was read at an absorbance of 450 nm using an ELISA plate reader (Bio Tek Instruments, Inc, USA). The concentration of IL-30 and GP130 in the </w:t>
      </w:r>
      <w:r w:rsidRPr="00AA5765">
        <w:rPr>
          <w:rFonts w:ascii="Calibri" w:eastAsia="Times New Roman" w:hAnsi="Calibri" w:cs="Calibri"/>
          <w:color w:val="000000"/>
        </w:rPr>
        <w:lastRenderedPageBreak/>
        <w:t xml:space="preserve">samples were then determined by comparing the optical density of the samples to the standard curve. The detection range of the used kits is 7.82 -500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 xml:space="preserve">/mL and 125-8000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for IL-30 and GP130, respectively.</w:t>
      </w:r>
    </w:p>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i/>
          <w:iCs/>
          <w:color w:val="000000"/>
        </w:rPr>
        <w:t>Statistical Analysis</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 xml:space="preserve">Data were analyzed using the Statistical Package for Social Science (SPSS), version 26.0 for Windows. Quantitative data were tested for normality by Shapiro-Wilk test data, expressed as mean ± SD or median and range according to normality of data. Qualitative data are expressed as frequencies and percentages. The Independent Sample T-test and the Mann Whitney U tests were used to compare mean/median difference of IL-30 and GP130 between two independent groups. While </w:t>
      </w:r>
      <w:proofErr w:type="gramStart"/>
      <w:r w:rsidRPr="00AA5765">
        <w:rPr>
          <w:rFonts w:ascii="Calibri" w:eastAsia="Times New Roman" w:hAnsi="Calibri" w:cs="Calibri"/>
          <w:color w:val="000000"/>
        </w:rPr>
        <w:t>One way</w:t>
      </w:r>
      <w:proofErr w:type="gramEnd"/>
      <w:r w:rsidRPr="00AA5765">
        <w:rPr>
          <w:rFonts w:ascii="Calibri" w:eastAsia="Times New Roman" w:hAnsi="Calibri" w:cs="Calibri"/>
          <w:color w:val="000000"/>
        </w:rPr>
        <w:t xml:space="preserve"> ANOVA/ Kruskal Wallis were used to compare mean/median difference between more than two groups. The Chi square test was used to compare proportions between groups. The Spearman correlation was used to explore the correlation between IL-30, GP130 and other variables. The receiver operating characteristic (ROC) curve analysis was done to identify diagnostic ability of IL-30 in prediction of psoriasis, area under curve, sensitivity, specificity, positive and negative predictive values were calculated. The level of significance was considered at </w:t>
      </w:r>
      <w:r w:rsidRPr="00AA5765">
        <w:rPr>
          <w:rFonts w:ascii="Calibri" w:eastAsia="Times New Roman" w:hAnsi="Calibri" w:cs="Calibri"/>
          <w:i/>
          <w:iCs/>
          <w:color w:val="000000"/>
        </w:rPr>
        <w:t xml:space="preserve">p </w:t>
      </w:r>
      <w:r w:rsidRPr="00AA5765">
        <w:rPr>
          <w:rFonts w:ascii="Calibri" w:eastAsia="Times New Roman" w:hAnsi="Calibri" w:cs="Calibri"/>
          <w:color w:val="000000"/>
        </w:rPr>
        <w:t>&lt; 0.05.</w:t>
      </w: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Results</w:t>
      </w:r>
    </w:p>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i/>
          <w:iCs/>
          <w:color w:val="000000"/>
        </w:rPr>
        <w:t>Measurement of IL-30 and GP130 Concentrations in serum of Patients with Psoriasis and Control Subjects</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Tables 1 and 2 list the clinical features of the 43 psoriasis patients and 43 controls included in the study. There was a statistically significant higher median of IL-30 in patients with psoriasis compared to controls (</w:t>
      </w:r>
      <w:r w:rsidRPr="00AA5765">
        <w:rPr>
          <w:rFonts w:ascii="Calibri" w:eastAsia="Times New Roman" w:hAnsi="Calibri" w:cs="Calibri"/>
          <w:i/>
          <w:iCs/>
          <w:color w:val="000000"/>
        </w:rPr>
        <w:t>p</w:t>
      </w:r>
      <w:r w:rsidRPr="00AA5765">
        <w:rPr>
          <w:rFonts w:ascii="Calibri" w:eastAsia="Times New Roman" w:hAnsi="Calibri" w:cs="Calibri"/>
          <w:color w:val="000000"/>
        </w:rPr>
        <w:t>&lt;0.001) (Table 3, Figure 1). However, there was no statistically significant difference in the mean of GP130 between patients with psoriasis and controls (</w:t>
      </w:r>
      <w:r w:rsidRPr="00AA5765">
        <w:rPr>
          <w:rFonts w:ascii="Calibri" w:eastAsia="Times New Roman" w:hAnsi="Calibri" w:cs="Calibri"/>
          <w:i/>
          <w:iCs/>
          <w:color w:val="000000"/>
        </w:rPr>
        <w:t>p</w:t>
      </w:r>
      <w:r w:rsidRPr="00AA5765">
        <w:rPr>
          <w:rFonts w:ascii="Calibri" w:eastAsia="Times New Roman" w:hAnsi="Calibri" w:cs="Calibri"/>
          <w:color w:val="000000"/>
        </w:rPr>
        <w:t>&gt;0.05).</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b/>
          <w:bCs/>
          <w:color w:val="000000"/>
        </w:rPr>
        <w:t xml:space="preserve">Table 1. </w:t>
      </w:r>
      <w:r w:rsidRPr="00AA5765">
        <w:rPr>
          <w:rFonts w:ascii="Calibri" w:eastAsia="Times New Roman" w:hAnsi="Calibri" w:cs="Calibri"/>
          <w:color w:val="000000"/>
        </w:rPr>
        <w:t>Characteristics of the study participants.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47"/>
        <w:gridCol w:w="2272"/>
        <w:gridCol w:w="2224"/>
        <w:gridCol w:w="1997"/>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Variables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Psoriasis (n=43)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Controls (n=43)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i/>
                <w:iCs/>
                <w:color w:val="000000"/>
              </w:rPr>
              <w:t>p</w:t>
            </w:r>
            <w:r w:rsidRPr="00AA5765">
              <w:rPr>
                <w:rFonts w:ascii="Calibri" w:eastAsia="Times New Roman" w:hAnsi="Calibri" w:cs="Calibri"/>
                <w:color w:val="000000"/>
              </w:rPr>
              <w:t>-value</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Age (years) [Mean± SD (range)]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41.79±12.82 (18-74)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37.19±9.42 (20-58)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Gender</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Male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28 (65.1%)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32 (74.4%)</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Female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15 (34.9%)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11 (25.6%)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Marital status </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Single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8 (18.6%)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13 (30.2%)</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Married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35 (81.4%)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30 (69.8%)</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bl>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color w:val="000000"/>
          <w:sz w:val="20"/>
          <w:szCs w:val="20"/>
        </w:rPr>
        <w:t xml:space="preserve">64 </w:t>
      </w:r>
      <w:r w:rsidRPr="00AA5765">
        <w:rPr>
          <w:rFonts w:ascii="Calibri" w:eastAsia="Times New Roman" w:hAnsi="Calibri" w:cs="Calibri"/>
          <w:i/>
          <w:iCs/>
          <w:color w:val="000000"/>
        </w:rPr>
        <w:t>Shehata et al</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b/>
          <w:bCs/>
          <w:color w:val="000000"/>
        </w:rPr>
        <w:t xml:space="preserve">Table 1. </w:t>
      </w:r>
      <w:r w:rsidRPr="00AA5765">
        <w:rPr>
          <w:rFonts w:ascii="Calibri" w:eastAsia="Times New Roman" w:hAnsi="Calibri" w:cs="Calibri"/>
          <w:color w:val="000000"/>
        </w:rPr>
        <w:t>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30"/>
        <w:gridCol w:w="2147"/>
        <w:gridCol w:w="2139"/>
        <w:gridCol w:w="2024"/>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Variables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Psoriasis (n=43)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Controls (n=43)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i/>
                <w:iCs/>
                <w:color w:val="000000"/>
              </w:rPr>
              <w:t>p</w:t>
            </w:r>
            <w:r w:rsidRPr="00AA5765">
              <w:rPr>
                <w:rFonts w:ascii="Calibri" w:eastAsia="Times New Roman" w:hAnsi="Calibri" w:cs="Calibri"/>
                <w:color w:val="000000"/>
              </w:rPr>
              <w:t>-value</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Smoking</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Yes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19 (44.2%)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No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24 (55.8%)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Hypertension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9 (20.9%)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Diabetes Mellitus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8 (18.6%)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sz w:val="18"/>
                <w:szCs w:val="18"/>
              </w:rPr>
              <w:t xml:space="preserve">Data were expressed as mean ± SD or frequency and %. *Independent Sample T test compare mean difference between groups. ** Chi square test compare </w:t>
            </w:r>
            <w:r w:rsidRPr="00AA5765">
              <w:rPr>
                <w:rFonts w:ascii="Calibri" w:eastAsia="Times New Roman" w:hAnsi="Calibri" w:cs="Calibri"/>
                <w:color w:val="000000"/>
                <w:sz w:val="18"/>
                <w:szCs w:val="18"/>
              </w:rPr>
              <w:lastRenderedPageBreak/>
              <w:t xml:space="preserve">proportions between groups. </w:t>
            </w:r>
            <w:r w:rsidRPr="00AA5765">
              <w:rPr>
                <w:rFonts w:ascii="Calibri" w:eastAsia="Times New Roman" w:hAnsi="Calibri" w:cs="Calibri"/>
                <w:i/>
                <w:iCs/>
                <w:color w:val="000000"/>
                <w:sz w:val="18"/>
                <w:szCs w:val="18"/>
              </w:rPr>
              <w:t xml:space="preserve">p </w:t>
            </w:r>
            <w:r w:rsidRPr="00AA5765">
              <w:rPr>
                <w:rFonts w:ascii="Calibri" w:eastAsia="Times New Roman" w:hAnsi="Calibri" w:cs="Calibri"/>
                <w:color w:val="000000"/>
                <w:sz w:val="18"/>
                <w:szCs w:val="18"/>
              </w:rPr>
              <w:t>&gt; 0.05 is not significant (NS).</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bl>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b/>
          <w:bCs/>
          <w:color w:val="000000"/>
        </w:rPr>
        <w:t xml:space="preserve">Table 2. </w:t>
      </w:r>
      <w:r w:rsidRPr="00AA5765">
        <w:rPr>
          <w:rFonts w:ascii="Calibri" w:eastAsia="Times New Roman" w:hAnsi="Calibri" w:cs="Calibri"/>
          <w:color w:val="000000"/>
        </w:rPr>
        <w:t>Clinical data of patients with psoriasis.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Variables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Psoriasis (n=43)</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Family history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9 (20.9%)</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Duration of disease (years) </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&lt;10 years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30 (69.8%)</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≥10 years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13 (30.2%)</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Median (Range)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8.0 years (1 month-30.0 years)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Severity</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Mild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13 (30.2%)</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Moderate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21 (48.8%)</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Sever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9 (20.9%)</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PASI score: Median (Range)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16.20 (1.4-40.5)</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Lines of treatments </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Topical treatment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43 (100.0%)</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Tablets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15 (34.9%)</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sz w:val="18"/>
                <w:szCs w:val="18"/>
              </w:rPr>
              <w:t>Data were expressed as median (Range) or frequency and %.</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bl>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b/>
          <w:bCs/>
          <w:color w:val="000000"/>
        </w:rPr>
        <w:t xml:space="preserve">Table 3. </w:t>
      </w:r>
      <w:r w:rsidRPr="00AA5765">
        <w:rPr>
          <w:rFonts w:ascii="Calibri" w:eastAsia="Times New Roman" w:hAnsi="Calibri" w:cs="Calibri"/>
          <w:color w:val="000000"/>
        </w:rPr>
        <w:t xml:space="preserve">Comparison of interleukin (IL)-30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 xml:space="preserve">/ml and glycoprotein (GP)130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between psoriasis cases and controls.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31"/>
        <w:gridCol w:w="2266"/>
        <w:gridCol w:w="2266"/>
        <w:gridCol w:w="1977"/>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Variables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Psoriasis (n=43)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Controls (n=43)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i/>
                <w:iCs/>
                <w:color w:val="000000"/>
              </w:rPr>
              <w:t>p</w:t>
            </w:r>
            <w:r w:rsidRPr="00AA5765">
              <w:rPr>
                <w:rFonts w:ascii="Calibri" w:eastAsia="Times New Roman" w:hAnsi="Calibri" w:cs="Calibri"/>
                <w:color w:val="000000"/>
              </w:rPr>
              <w:t>-value*</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 xml:space="preserve">/ml [Median (Range)]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29.49 (24.75-105.0)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10.87 (9.32-25.10)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&lt;0.001</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GP130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 xml:space="preserve">/ml (Mean± SD)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158.38±20.45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153.20±14.98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sz w:val="18"/>
                <w:szCs w:val="18"/>
              </w:rPr>
              <w:t xml:space="preserve">Data were expressed as mean ± SD. * Mann Whitney U test / Independent Sample T test. </w:t>
            </w:r>
            <w:r w:rsidRPr="00AA5765">
              <w:rPr>
                <w:rFonts w:ascii="Calibri" w:eastAsia="Times New Roman" w:hAnsi="Calibri" w:cs="Calibri"/>
                <w:i/>
                <w:iCs/>
                <w:color w:val="000000"/>
                <w:sz w:val="18"/>
                <w:szCs w:val="18"/>
              </w:rPr>
              <w:t xml:space="preserve">p </w:t>
            </w:r>
            <w:r w:rsidRPr="00AA5765">
              <w:rPr>
                <w:rFonts w:ascii="Calibri" w:eastAsia="Times New Roman" w:hAnsi="Calibri" w:cs="Calibri"/>
                <w:color w:val="000000"/>
                <w:sz w:val="18"/>
                <w:szCs w:val="18"/>
              </w:rPr>
              <w:t>&gt; 0.05 is not significant (NS).</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bl>
    <w:p w:rsidR="00AA5765" w:rsidRPr="00AA5765" w:rsidRDefault="00AA5765" w:rsidP="00AA5765">
      <w:pPr>
        <w:spacing w:after="0" w:line="240" w:lineRule="auto"/>
        <w:rPr>
          <w:rFonts w:ascii="Times New Roman" w:eastAsia="Times New Roman" w:hAnsi="Times New Roman" w:cs="Times New Roman"/>
          <w:vanish/>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b/>
                <w:bCs/>
                <w:color w:val="000000"/>
              </w:rPr>
              <w:t xml:space="preserve">Figure 1. </w:t>
            </w:r>
            <w:r w:rsidRPr="00AA5765">
              <w:rPr>
                <w:rFonts w:ascii="Calibri" w:eastAsia="Times New Roman" w:hAnsi="Calibri" w:cs="Calibri"/>
                <w:color w:val="000000"/>
              </w:rPr>
              <w:t xml:space="preserve">Box plot for interleukin (IL)-30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in patients with psoriasis and controls.</w:t>
            </w:r>
          </w:p>
        </w:tc>
      </w:tr>
    </w:tbl>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color w:val="000000"/>
          <w:sz w:val="20"/>
          <w:szCs w:val="20"/>
        </w:rPr>
        <w:t xml:space="preserve">65 </w:t>
      </w:r>
      <w:r w:rsidRPr="00AA5765">
        <w:rPr>
          <w:rFonts w:ascii="Calibri" w:eastAsia="Times New Roman" w:hAnsi="Calibri" w:cs="Calibri"/>
          <w:i/>
          <w:iCs/>
          <w:color w:val="000000"/>
        </w:rPr>
        <w:t>The Egyptian Journal of Immunology</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There was a statistically significant difference in IL-30 level according to the severity of the psoriasis (</w:t>
      </w:r>
      <w:r w:rsidRPr="00AA5765">
        <w:rPr>
          <w:rFonts w:ascii="Calibri" w:eastAsia="Times New Roman" w:hAnsi="Calibri" w:cs="Calibri"/>
          <w:i/>
          <w:iCs/>
          <w:color w:val="000000"/>
        </w:rPr>
        <w:t>p</w:t>
      </w:r>
      <w:r w:rsidRPr="00AA5765">
        <w:rPr>
          <w:rFonts w:ascii="Calibri" w:eastAsia="Times New Roman" w:hAnsi="Calibri" w:cs="Calibri"/>
          <w:color w:val="000000"/>
        </w:rPr>
        <w:t>=0.001) (Table 4). There was no statistically significant difference between mild and moderate disease. However, there was a statistically significant difference between mild and severe and moderate to severe disease (</w:t>
      </w:r>
      <w:r w:rsidRPr="00AA5765">
        <w:rPr>
          <w:rFonts w:ascii="Calibri" w:eastAsia="Times New Roman" w:hAnsi="Calibri" w:cs="Calibri"/>
          <w:i/>
          <w:iCs/>
          <w:color w:val="000000"/>
        </w:rPr>
        <w:t>p</w:t>
      </w:r>
      <w:r w:rsidRPr="00AA5765">
        <w:rPr>
          <w:rFonts w:ascii="Calibri" w:eastAsia="Times New Roman" w:hAnsi="Calibri" w:cs="Calibri"/>
          <w:color w:val="000000"/>
        </w:rPr>
        <w:t>&lt;0.001). There was no statistically significant difference in the level of IL-30 according to disease duration, hypertension, diabetes mellitus, and family history of psoriasis, (</w:t>
      </w:r>
      <w:r w:rsidRPr="00AA5765">
        <w:rPr>
          <w:rFonts w:ascii="Calibri" w:eastAsia="Times New Roman" w:hAnsi="Calibri" w:cs="Calibri"/>
          <w:i/>
          <w:iCs/>
          <w:color w:val="000000"/>
        </w:rPr>
        <w:t>p</w:t>
      </w:r>
      <w:r w:rsidRPr="00AA5765">
        <w:rPr>
          <w:rFonts w:ascii="Calibri" w:eastAsia="Times New Roman" w:hAnsi="Calibri" w:cs="Calibri"/>
          <w:color w:val="000000"/>
        </w:rPr>
        <w:t>&gt;0.05), (Figure 2).</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There was no statistically significant difference in level of GP130 between psoriasis patients with different levels of disease severity (Figure 3), illness duration, hypertension, diabetes mellitus, and history of psoriasis in the family, (</w:t>
      </w:r>
      <w:r w:rsidRPr="00AA5765">
        <w:rPr>
          <w:rFonts w:ascii="Calibri" w:eastAsia="Times New Roman" w:hAnsi="Calibri" w:cs="Calibri"/>
          <w:i/>
          <w:iCs/>
          <w:color w:val="000000"/>
        </w:rPr>
        <w:t xml:space="preserve">p </w:t>
      </w:r>
      <w:r w:rsidRPr="00AA5765">
        <w:rPr>
          <w:rFonts w:ascii="Calibri" w:eastAsia="Times New Roman" w:hAnsi="Calibri" w:cs="Calibri"/>
          <w:color w:val="000000"/>
        </w:rPr>
        <w:t>&gt;0.05).</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b/>
          <w:bCs/>
          <w:color w:val="000000"/>
        </w:rPr>
        <w:t xml:space="preserve">Table 4. </w:t>
      </w:r>
      <w:r w:rsidRPr="00AA5765">
        <w:rPr>
          <w:rFonts w:ascii="Calibri" w:eastAsia="Times New Roman" w:hAnsi="Calibri" w:cs="Calibri"/>
          <w:color w:val="000000"/>
        </w:rPr>
        <w:t xml:space="preserve">Factors affecting interleukin-30 (IL-30)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 xml:space="preserve">/ml and glycoprotein (GP)130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among cases with psoriasis.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5"/>
        <w:gridCol w:w="1495"/>
        <w:gridCol w:w="1908"/>
        <w:gridCol w:w="1908"/>
        <w:gridCol w:w="1374"/>
      </w:tblGrid>
      <w:tr w:rsidR="00AA5765" w:rsidRPr="00AA5765" w:rsidTr="00AA5765">
        <w:trPr>
          <w:gridAfter w:val="2"/>
          <w:wAfter w:w="6000" w:type="dxa"/>
        </w:trPr>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lastRenderedPageBreak/>
              <w:t>Variables</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 xml:space="preserve">/ml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GP-130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w:t>
            </w:r>
          </w:p>
        </w:tc>
      </w:tr>
      <w:tr w:rsidR="00AA5765" w:rsidRPr="00AA5765" w:rsidTr="00AA5765">
        <w:trPr>
          <w:gridAfter w:val="1"/>
          <w:wAfter w:w="3000" w:type="dxa"/>
        </w:trPr>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Median (range)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i/>
                <w:iCs/>
                <w:color w:val="000000"/>
              </w:rPr>
              <w:t>p-</w:t>
            </w:r>
            <w:r w:rsidRPr="00AA5765">
              <w:rPr>
                <w:rFonts w:ascii="Calibri" w:eastAsia="Times New Roman" w:hAnsi="Calibri" w:cs="Calibri"/>
                <w:color w:val="000000"/>
              </w:rPr>
              <w:t xml:space="preserve">value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Mean± SD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i/>
                <w:iCs/>
                <w:color w:val="000000"/>
              </w:rPr>
              <w:t>p</w:t>
            </w:r>
            <w:r w:rsidRPr="00AA5765">
              <w:rPr>
                <w:rFonts w:ascii="Calibri" w:eastAsia="Times New Roman" w:hAnsi="Calibri" w:cs="Calibri"/>
                <w:color w:val="000000"/>
              </w:rPr>
              <w:t>-value</w:t>
            </w:r>
          </w:p>
        </w:tc>
      </w:tr>
      <w:tr w:rsidR="00AA5765" w:rsidRPr="00AA5765" w:rsidTr="00AA5765">
        <w:trPr>
          <w:gridAfter w:val="1"/>
          <w:wAfter w:w="3000" w:type="dxa"/>
        </w:trPr>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Severity of disease </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Mild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27.81 (25.38-30.70)</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&lt;0.001*</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157.16±14.84</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Moderate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29.34 (24.75-44.76)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157.36±20.74 </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Sever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60.10 (39.09-105.0)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162.55±27.65</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Duration of diseases</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&lt;10 years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30.04 (24.75-105.0)</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158.49±20.55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≥10 years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28.86 (26.31-60.1)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158.14±21.03</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Hypertension</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Yes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44.31 (26.31-102.0)</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168.20±27.14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No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29.10 (24.75-105.0)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155.79±17.90</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Diabetes Mellitus</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Yes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28.44 (26.31-60.10)</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164.88±25.54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No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30.60 (24.75-105.0)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156.90±19.23</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Family history</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Yes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34.95 (24.75-83.37)</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157.88±20.13</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No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29.41 (25.53-105.0)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158.52±20.83</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sz w:val="18"/>
                <w:szCs w:val="18"/>
              </w:rPr>
              <w:t xml:space="preserve">Data were expressed as mean ± SD or median (range). </w:t>
            </w:r>
            <w:r w:rsidRPr="00AA5765">
              <w:rPr>
                <w:rFonts w:ascii="Calibri" w:eastAsia="Times New Roman" w:hAnsi="Calibri" w:cs="Calibri"/>
                <w:i/>
                <w:iCs/>
                <w:color w:val="000000"/>
                <w:sz w:val="18"/>
                <w:szCs w:val="18"/>
              </w:rPr>
              <w:t xml:space="preserve">p </w:t>
            </w:r>
            <w:r w:rsidRPr="00AA5765">
              <w:rPr>
                <w:rFonts w:ascii="Calibri" w:eastAsia="Times New Roman" w:hAnsi="Calibri" w:cs="Calibri"/>
                <w:color w:val="000000"/>
                <w:sz w:val="18"/>
                <w:szCs w:val="18"/>
              </w:rPr>
              <w:t>&gt; 0.05 is not significant (NS</w:t>
            </w:r>
            <w:proofErr w:type="gramStart"/>
            <w:r w:rsidRPr="00AA5765">
              <w:rPr>
                <w:rFonts w:ascii="Calibri" w:eastAsia="Times New Roman" w:hAnsi="Calibri" w:cs="Calibri"/>
                <w:color w:val="000000"/>
                <w:sz w:val="18"/>
                <w:szCs w:val="18"/>
              </w:rPr>
              <w:t>).*</w:t>
            </w:r>
            <w:proofErr w:type="gramEnd"/>
            <w:r w:rsidRPr="00AA5765">
              <w:rPr>
                <w:rFonts w:ascii="Calibri" w:eastAsia="Times New Roman" w:hAnsi="Calibri" w:cs="Calibri"/>
                <w:color w:val="000000"/>
                <w:sz w:val="18"/>
                <w:szCs w:val="18"/>
              </w:rPr>
              <w:t xml:space="preserve"> Kruskal Wallis/ANOVA test with pairwise comparison (</w:t>
            </w:r>
            <w:r w:rsidRPr="00AA5765">
              <w:rPr>
                <w:rFonts w:ascii="Calibri" w:eastAsia="Times New Roman" w:hAnsi="Calibri" w:cs="Calibri"/>
                <w:i/>
                <w:iCs/>
                <w:color w:val="000000"/>
                <w:sz w:val="18"/>
                <w:szCs w:val="18"/>
              </w:rPr>
              <w:t xml:space="preserve">p </w:t>
            </w:r>
            <w:r w:rsidRPr="00AA5765">
              <w:rPr>
                <w:rFonts w:ascii="Calibri" w:eastAsia="Times New Roman" w:hAnsi="Calibri" w:cs="Calibri"/>
                <w:color w:val="000000"/>
                <w:sz w:val="18"/>
                <w:szCs w:val="18"/>
              </w:rPr>
              <w:t>value in mild vs moderate = 0.466, mild vs sever &lt;0.001, moderate vs sever&lt;0.001). **Mann Whitney U test/Independent sample T test</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bl>
    <w:p w:rsidR="00AA5765" w:rsidRPr="00AA5765" w:rsidRDefault="00AA5765" w:rsidP="00AA5765">
      <w:pPr>
        <w:spacing w:after="0" w:line="240" w:lineRule="auto"/>
        <w:rPr>
          <w:rFonts w:ascii="Times New Roman" w:eastAsia="Times New Roman" w:hAnsi="Times New Roman" w:cs="Times New Roman"/>
          <w:vanish/>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b/>
                <w:bCs/>
                <w:color w:val="000000"/>
              </w:rPr>
              <w:t xml:space="preserve">Figure 2. </w:t>
            </w:r>
            <w:r w:rsidRPr="00AA5765">
              <w:rPr>
                <w:rFonts w:ascii="Calibri" w:eastAsia="Times New Roman" w:hAnsi="Calibri" w:cs="Calibri"/>
                <w:color w:val="000000"/>
              </w:rPr>
              <w:t xml:space="preserve">Box plot for interleukin (IL)-30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in patients with psoriasis according to severity of disease.</w:t>
            </w:r>
          </w:p>
        </w:tc>
      </w:tr>
    </w:tbl>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color w:val="000000"/>
          <w:sz w:val="20"/>
          <w:szCs w:val="20"/>
        </w:rPr>
        <w:lastRenderedPageBreak/>
        <w:t xml:space="preserve">66 </w:t>
      </w:r>
      <w:r w:rsidRPr="00AA5765">
        <w:rPr>
          <w:rFonts w:ascii="Calibri" w:eastAsia="Times New Roman" w:hAnsi="Calibri" w:cs="Calibri"/>
          <w:i/>
          <w:iCs/>
          <w:color w:val="000000"/>
        </w:rPr>
        <w:t>Shehata et 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b/>
                <w:bCs/>
                <w:color w:val="000000"/>
              </w:rPr>
              <w:t xml:space="preserve">Figure 3. </w:t>
            </w:r>
            <w:r w:rsidRPr="00AA5765">
              <w:rPr>
                <w:rFonts w:ascii="Calibri" w:eastAsia="Times New Roman" w:hAnsi="Calibri" w:cs="Calibri"/>
                <w:color w:val="000000"/>
              </w:rPr>
              <w:t xml:space="preserve">Box plot for glycoprotein (GP)130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in patients with psoriasis according to severity of disease.</w:t>
            </w:r>
          </w:p>
        </w:tc>
      </w:tr>
    </w:tbl>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i/>
          <w:iCs/>
          <w:color w:val="000000"/>
        </w:rPr>
        <w:t>Correlations between serum Concentrations of IL-30 and GP130 and Clinical Parameters in Patients with Psoriasis</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 xml:space="preserve">There was no statistically significant correlation between the level of IL-30 and age, disease duration, or level of GP130. However, as shown in Figure 4 there was a moderate, statistically significant positive correlation between the level of IL-30 and PASI score (r=0.498, </w:t>
      </w:r>
      <w:r w:rsidRPr="00AA5765">
        <w:rPr>
          <w:rFonts w:ascii="Calibri" w:eastAsia="Times New Roman" w:hAnsi="Calibri" w:cs="Calibri"/>
          <w:i/>
          <w:iCs/>
          <w:color w:val="000000"/>
        </w:rPr>
        <w:t>p</w:t>
      </w:r>
      <w:r w:rsidRPr="00AA5765">
        <w:rPr>
          <w:rFonts w:ascii="Calibri" w:eastAsia="Times New Roman" w:hAnsi="Calibri" w:cs="Calibri"/>
          <w:color w:val="000000"/>
        </w:rPr>
        <w:t>=0.001). Moreover, there is no statistically significant correlation between the PASI score, age, or disease duration and GP130 level (Table 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b/>
                <w:bCs/>
                <w:color w:val="000000"/>
              </w:rPr>
              <w:t xml:space="preserve">Figure 4. </w:t>
            </w:r>
            <w:r w:rsidRPr="00AA5765">
              <w:rPr>
                <w:rFonts w:ascii="Calibri" w:eastAsia="Times New Roman" w:hAnsi="Calibri" w:cs="Calibri"/>
                <w:color w:val="000000"/>
              </w:rPr>
              <w:t xml:space="preserve">Scatter diagram for correlation between interleukin (IL)-30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and Psoriasis Area Severity Index (PASI).</w:t>
            </w:r>
          </w:p>
        </w:tc>
      </w:tr>
    </w:tbl>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b/>
          <w:bCs/>
          <w:color w:val="000000"/>
        </w:rPr>
        <w:t xml:space="preserve">Table 5. </w:t>
      </w:r>
      <w:r w:rsidRPr="00AA5765">
        <w:rPr>
          <w:rFonts w:ascii="Calibri" w:eastAsia="Times New Roman" w:hAnsi="Calibri" w:cs="Calibri"/>
          <w:color w:val="000000"/>
        </w:rPr>
        <w:t xml:space="preserve">Correlation between interleukin-30 (IL-30)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 xml:space="preserve">/ml, glycoprotein (GP)130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and other variables among patients with psoriasis.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5"/>
        <w:gridCol w:w="1717"/>
        <w:gridCol w:w="1763"/>
        <w:gridCol w:w="1701"/>
        <w:gridCol w:w="1554"/>
      </w:tblGrid>
      <w:tr w:rsidR="00AA5765" w:rsidRPr="00AA5765" w:rsidTr="00AA5765">
        <w:trPr>
          <w:gridAfter w:val="2"/>
          <w:wAfter w:w="6000" w:type="dxa"/>
        </w:trPr>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Variables</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 xml:space="preserve">/ml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GP130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w:t>
            </w:r>
          </w:p>
        </w:tc>
      </w:tr>
      <w:tr w:rsidR="00AA5765" w:rsidRPr="00AA5765" w:rsidTr="00AA5765">
        <w:trPr>
          <w:gridAfter w:val="1"/>
          <w:wAfter w:w="3000" w:type="dxa"/>
        </w:trPr>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r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i/>
                <w:iCs/>
                <w:color w:val="000000"/>
              </w:rPr>
              <w:t>p</w:t>
            </w:r>
            <w:r w:rsidRPr="00AA5765">
              <w:rPr>
                <w:rFonts w:ascii="Calibri" w:eastAsia="Times New Roman" w:hAnsi="Calibri" w:cs="Calibri"/>
                <w:color w:val="000000"/>
              </w:rPr>
              <w:t xml:space="preserve">-value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r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i/>
                <w:iCs/>
                <w:color w:val="000000"/>
              </w:rPr>
              <w:t>p</w:t>
            </w:r>
            <w:r w:rsidRPr="00AA5765">
              <w:rPr>
                <w:rFonts w:ascii="Calibri" w:eastAsia="Times New Roman" w:hAnsi="Calibri" w:cs="Calibri"/>
                <w:color w:val="000000"/>
              </w:rPr>
              <w:t>-value</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Age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-0.199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0.103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Duration of disease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-0.012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-0.147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PASI score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0.498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&lt;0.001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0.10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NS</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GP130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-0.237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sz w:val="18"/>
                <w:szCs w:val="18"/>
              </w:rPr>
              <w:t xml:space="preserve">r (correlation coefficient) spearman correlation, PASI: Psoriasis Area Severity Index. </w:t>
            </w:r>
            <w:r w:rsidRPr="00AA5765">
              <w:rPr>
                <w:rFonts w:ascii="Calibri" w:eastAsia="Times New Roman" w:hAnsi="Calibri" w:cs="Calibri"/>
                <w:i/>
                <w:iCs/>
                <w:color w:val="000000"/>
                <w:sz w:val="18"/>
                <w:szCs w:val="18"/>
              </w:rPr>
              <w:t xml:space="preserve">p </w:t>
            </w:r>
            <w:r w:rsidRPr="00AA5765">
              <w:rPr>
                <w:rFonts w:ascii="Calibri" w:eastAsia="Times New Roman" w:hAnsi="Calibri" w:cs="Calibri"/>
                <w:color w:val="000000"/>
                <w:sz w:val="18"/>
                <w:szCs w:val="18"/>
              </w:rPr>
              <w:t>&gt; 0.05 is not significant (NS).</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bl>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color w:val="000000"/>
          <w:sz w:val="20"/>
          <w:szCs w:val="20"/>
        </w:rPr>
        <w:t xml:space="preserve">67 </w:t>
      </w:r>
      <w:r w:rsidRPr="00AA5765">
        <w:rPr>
          <w:rFonts w:ascii="Calibri" w:eastAsia="Times New Roman" w:hAnsi="Calibri" w:cs="Calibri"/>
          <w:i/>
          <w:iCs/>
          <w:color w:val="000000"/>
        </w:rPr>
        <w:t>The Egyptian Journal of Immunology</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 xml:space="preserve">Table 6 shows the diagnostic ability of IL-30 for prediction of psoriasis in comparison to controls. At a cut of point of &gt;14.34, and area under the curve of 0.999 the IL-30 have a sensitivity of 97.7%, 100% specificity, 100% positive predictive value and negative predictive value of 97.7% for prediction of psoriasis, </w:t>
      </w:r>
      <w:r w:rsidRPr="00AA5765">
        <w:rPr>
          <w:rFonts w:ascii="Calibri" w:eastAsia="Times New Roman" w:hAnsi="Calibri" w:cs="Calibri"/>
          <w:i/>
          <w:iCs/>
          <w:color w:val="000000"/>
        </w:rPr>
        <w:t>p</w:t>
      </w:r>
      <w:r w:rsidRPr="00AA5765">
        <w:rPr>
          <w:rFonts w:ascii="Calibri" w:eastAsia="Times New Roman" w:hAnsi="Calibri" w:cs="Calibri"/>
          <w:color w:val="000000"/>
        </w:rPr>
        <w:t>&lt;0.001 (Figure 5).</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b/>
          <w:bCs/>
          <w:color w:val="000000"/>
        </w:rPr>
        <w:t xml:space="preserve">Table 6. </w:t>
      </w:r>
      <w:r w:rsidRPr="00AA5765">
        <w:rPr>
          <w:rFonts w:ascii="Calibri" w:eastAsia="Times New Roman" w:hAnsi="Calibri" w:cs="Calibri"/>
          <w:color w:val="000000"/>
        </w:rPr>
        <w:t xml:space="preserve">Diagnostic ability of interleukin-30 (IL-30)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in prediction of psoriasis in comparison to controls.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Indices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Diagnostic criteria</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Area under the curve (AUC)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0.999 (0.956-1.000)</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Cut off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&gt;25.1</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Accuracy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99.0%</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Sensitivity, %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97.7%</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Specificity, %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100.0%</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PPV, %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100.0%</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 xml:space="preserve">NPP, %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97.7%</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i/>
                <w:iCs/>
                <w:color w:val="000000"/>
              </w:rPr>
              <w:t xml:space="preserve">p </w:t>
            </w:r>
            <w:r w:rsidRPr="00AA5765">
              <w:rPr>
                <w:rFonts w:ascii="Calibri" w:eastAsia="Times New Roman" w:hAnsi="Calibri" w:cs="Calibri"/>
                <w:color w:val="000000"/>
              </w:rPr>
              <w:t xml:space="preserve">value </w:t>
            </w:r>
          </w:p>
        </w:tc>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&lt;0.001</w:t>
            </w:r>
          </w:p>
        </w:tc>
      </w:tr>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sz w:val="18"/>
                <w:szCs w:val="18"/>
              </w:rPr>
              <w:lastRenderedPageBreak/>
              <w:t>PPV: positive predictive value; NPV: negative predictive value; AUC: area under curve. *</w:t>
            </w:r>
            <w:r w:rsidRPr="00AA5765">
              <w:rPr>
                <w:rFonts w:ascii="Calibri" w:eastAsia="Times New Roman" w:hAnsi="Calibri" w:cs="Calibri"/>
                <w:i/>
                <w:iCs/>
                <w:color w:val="000000"/>
                <w:sz w:val="18"/>
                <w:szCs w:val="18"/>
              </w:rPr>
              <w:t xml:space="preserve">p </w:t>
            </w:r>
            <w:r w:rsidRPr="00AA5765">
              <w:rPr>
                <w:rFonts w:ascii="Calibri" w:eastAsia="Times New Roman" w:hAnsi="Calibri" w:cs="Calibri"/>
                <w:color w:val="000000"/>
                <w:sz w:val="18"/>
                <w:szCs w:val="18"/>
              </w:rPr>
              <w:t>≤ 0.05 is significant.</w:t>
            </w:r>
          </w:p>
        </w:tc>
        <w:tc>
          <w:tcPr>
            <w:tcW w:w="0" w:type="auto"/>
            <w:vAlign w:val="center"/>
            <w:hideMark/>
          </w:tcPr>
          <w:p w:rsidR="00AA5765" w:rsidRPr="00AA5765" w:rsidRDefault="00AA5765" w:rsidP="00AA5765">
            <w:pPr>
              <w:spacing w:after="0" w:line="240" w:lineRule="auto"/>
              <w:rPr>
                <w:rFonts w:ascii="Times New Roman" w:eastAsia="Times New Roman" w:hAnsi="Times New Roman" w:cs="Times New Roman"/>
                <w:sz w:val="20"/>
                <w:szCs w:val="20"/>
              </w:rPr>
            </w:pPr>
          </w:p>
        </w:tc>
      </w:tr>
    </w:tbl>
    <w:p w:rsidR="00AA5765" w:rsidRPr="00AA5765" w:rsidRDefault="00AA5765" w:rsidP="00AA5765">
      <w:pPr>
        <w:spacing w:after="0" w:line="240" w:lineRule="auto"/>
        <w:rPr>
          <w:rFonts w:ascii="Times New Roman" w:eastAsia="Times New Roman" w:hAnsi="Times New Roman" w:cs="Times New Roman"/>
          <w:vanish/>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A5765" w:rsidRPr="00AA5765" w:rsidTr="00AA5765">
        <w:tc>
          <w:tcPr>
            <w:tcW w:w="3000" w:type="dxa"/>
            <w:tcBorders>
              <w:top w:val="nil"/>
              <w:left w:val="nil"/>
              <w:bottom w:val="nil"/>
              <w:right w:val="nil"/>
            </w:tcBorders>
            <w:vAlign w:val="center"/>
            <w:hideMark/>
          </w:tcPr>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b/>
                <w:bCs/>
                <w:color w:val="000000"/>
              </w:rPr>
              <w:t xml:space="preserve">Figure 5. </w:t>
            </w:r>
            <w:r w:rsidRPr="00AA5765">
              <w:rPr>
                <w:rFonts w:ascii="Calibri" w:eastAsia="Times New Roman" w:hAnsi="Calibri" w:cs="Calibri"/>
                <w:color w:val="000000"/>
              </w:rPr>
              <w:t xml:space="preserve">Receiver operating characteristic (ROC) curve for ability of interleukin (IL)- 30 </w:t>
            </w:r>
            <w:proofErr w:type="spellStart"/>
            <w:r w:rsidRPr="00AA5765">
              <w:rPr>
                <w:rFonts w:ascii="Calibri" w:eastAsia="Times New Roman" w:hAnsi="Calibri" w:cs="Calibri"/>
                <w:color w:val="000000"/>
              </w:rPr>
              <w:t>pg</w:t>
            </w:r>
            <w:proofErr w:type="spellEnd"/>
            <w:r w:rsidRPr="00AA5765">
              <w:rPr>
                <w:rFonts w:ascii="Calibri" w:eastAsia="Times New Roman" w:hAnsi="Calibri" w:cs="Calibri"/>
                <w:color w:val="000000"/>
              </w:rPr>
              <w:t>/ml in prediction of psoriasis in comparison to controls.</w:t>
            </w:r>
          </w:p>
        </w:tc>
      </w:tr>
    </w:tbl>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Discussion</w:t>
      </w:r>
    </w:p>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The present study aimed at assessing IL-30 and GP 130 in Psoriasis. Psoriasis is an autoimmune T-cell mediated disease for which the etiology is uncertain.</w:t>
      </w:r>
      <w:r w:rsidRPr="00AA5765">
        <w:rPr>
          <w:rFonts w:ascii="Calibri" w:eastAsia="Times New Roman" w:hAnsi="Calibri" w:cs="Calibri"/>
          <w:color w:val="000000"/>
          <w:sz w:val="14"/>
          <w:szCs w:val="14"/>
        </w:rPr>
        <w:t xml:space="preserve">15 </w:t>
      </w:r>
      <w:r w:rsidRPr="00AA5765">
        <w:rPr>
          <w:rFonts w:ascii="Calibri" w:eastAsia="Times New Roman" w:hAnsi="Calibri" w:cs="Calibri"/>
          <w:color w:val="000000"/>
        </w:rPr>
        <w:t>IL-30 has both pro-inflammatory and anti-inflammatory responses during autoimmune and infectious diseases. It also acts as a natural GP130 antagonist, thereby dampening the signals of other cytokines associated with GP130 mainly IL-6.</w:t>
      </w:r>
      <w:r w:rsidRPr="00AA5765">
        <w:rPr>
          <w:rFonts w:ascii="Calibri" w:eastAsia="Times New Roman" w:hAnsi="Calibri" w:cs="Calibri"/>
          <w:color w:val="000000"/>
          <w:sz w:val="14"/>
          <w:szCs w:val="14"/>
        </w:rPr>
        <w:t xml:space="preserve">16 </w:t>
      </w:r>
      <w:r w:rsidRPr="00AA5765">
        <w:rPr>
          <w:rFonts w:ascii="Calibri" w:eastAsia="Times New Roman" w:hAnsi="Calibri" w:cs="Calibri"/>
          <w:color w:val="000000"/>
        </w:rPr>
        <w:t>IL-6 and IL- 27 bind to the GP130 subunit of cytokine receptors that inhibit macrophage activation, blocking their proinflammatory effects.</w:t>
      </w:r>
      <w:r w:rsidRPr="00AA5765">
        <w:rPr>
          <w:rFonts w:ascii="Calibri" w:eastAsia="Times New Roman" w:hAnsi="Calibri" w:cs="Calibri"/>
          <w:color w:val="000000"/>
          <w:sz w:val="14"/>
          <w:szCs w:val="14"/>
        </w:rPr>
        <w:t>10</w:t>
      </w:r>
    </w:p>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color w:val="000000"/>
          <w:sz w:val="20"/>
          <w:szCs w:val="20"/>
        </w:rPr>
        <w:t xml:space="preserve">68 </w:t>
      </w:r>
      <w:r w:rsidRPr="00AA5765">
        <w:rPr>
          <w:rFonts w:ascii="Calibri" w:eastAsia="Times New Roman" w:hAnsi="Calibri" w:cs="Calibri"/>
          <w:i/>
          <w:iCs/>
          <w:color w:val="000000"/>
        </w:rPr>
        <w:t>Shehata et al</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In this study, serum IL-30 levels were significantly higher in psoriasis patients compared to controls. In addition, our results suggested a positive relationship between serum IL-30 levels and the severity of psoriasis. These results are consistent with the result reported by Omar, et al., 2021, that demonstrated a significant increase in IL-30 serum level in patients compared with the control group and found a positive correlation of the IL-30 level with PASI scores.</w:t>
      </w:r>
      <w:r w:rsidRPr="00AA5765">
        <w:rPr>
          <w:rFonts w:ascii="Calibri" w:eastAsia="Times New Roman" w:hAnsi="Calibri" w:cs="Calibri"/>
          <w:color w:val="000000"/>
          <w:sz w:val="14"/>
          <w:szCs w:val="14"/>
        </w:rPr>
        <w:t xml:space="preserve">17 </w:t>
      </w:r>
      <w:r w:rsidRPr="00AA5765">
        <w:rPr>
          <w:rFonts w:ascii="Calibri" w:eastAsia="Times New Roman" w:hAnsi="Calibri" w:cs="Calibri"/>
          <w:color w:val="000000"/>
        </w:rPr>
        <w:t>This may indicate that downward regulation of IL-30 expression can reduce abnormal proliferation of keratinocyte and other pathological features of psoriasis.</w:t>
      </w:r>
      <w:r w:rsidRPr="00AA5765">
        <w:rPr>
          <w:rFonts w:ascii="Calibri" w:eastAsia="Times New Roman" w:hAnsi="Calibri" w:cs="Calibri"/>
          <w:color w:val="000000"/>
          <w:sz w:val="14"/>
          <w:szCs w:val="14"/>
        </w:rPr>
        <w:t xml:space="preserve">17 </w:t>
      </w:r>
      <w:r w:rsidRPr="00AA5765">
        <w:rPr>
          <w:rFonts w:ascii="Calibri" w:eastAsia="Times New Roman" w:hAnsi="Calibri" w:cs="Calibri"/>
          <w:color w:val="000000"/>
        </w:rPr>
        <w:t xml:space="preserve">Another study reported that IL-30 attenuated the M5 cytokine-induced inflammatory response in the </w:t>
      </w:r>
      <w:proofErr w:type="spellStart"/>
      <w:r w:rsidRPr="00AA5765">
        <w:rPr>
          <w:rFonts w:ascii="Calibri" w:eastAsia="Times New Roman" w:hAnsi="Calibri" w:cs="Calibri"/>
          <w:color w:val="000000"/>
        </w:rPr>
        <w:t>HaCaT</w:t>
      </w:r>
      <w:proofErr w:type="spellEnd"/>
      <w:r w:rsidRPr="00AA5765">
        <w:rPr>
          <w:rFonts w:ascii="Calibri" w:eastAsia="Times New Roman" w:hAnsi="Calibri" w:cs="Calibri"/>
          <w:color w:val="000000"/>
        </w:rPr>
        <w:t xml:space="preserve"> keratinocyte cell lineage.</w:t>
      </w:r>
      <w:r w:rsidRPr="00AA5765">
        <w:rPr>
          <w:rFonts w:ascii="Calibri" w:eastAsia="Times New Roman" w:hAnsi="Calibri" w:cs="Calibri"/>
          <w:color w:val="000000"/>
          <w:sz w:val="14"/>
          <w:szCs w:val="14"/>
        </w:rPr>
        <w:t xml:space="preserve">18 </w:t>
      </w:r>
      <w:r w:rsidRPr="00AA5765">
        <w:rPr>
          <w:rFonts w:ascii="Calibri" w:eastAsia="Times New Roman" w:hAnsi="Calibri" w:cs="Calibri"/>
          <w:color w:val="000000"/>
        </w:rPr>
        <w:t>IL-30 inhibited maturation and blocked the secretion of dendritic cell inflammatory cytokines, thereby inhibiting the dendritic cell mediated proliferation of T cells. These findings may contribute to the anti-inflammatory effect of IL- 30 in psoriasis.</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 xml:space="preserve">IL-30 can form complexes with varied subunits. In addition to the Ebi3 subunit, cytokine-like factor 1 (CLF1) can combine with IL-30. </w:t>
      </w:r>
      <w:proofErr w:type="spellStart"/>
      <w:r w:rsidRPr="00AA5765">
        <w:rPr>
          <w:rFonts w:ascii="Calibri" w:eastAsia="Times New Roman" w:hAnsi="Calibri" w:cs="Calibri"/>
          <w:color w:val="000000"/>
        </w:rPr>
        <w:t>Crabé</w:t>
      </w:r>
      <w:proofErr w:type="spellEnd"/>
      <w:r w:rsidRPr="00AA5765">
        <w:rPr>
          <w:rFonts w:ascii="Calibri" w:eastAsia="Times New Roman" w:hAnsi="Calibri" w:cs="Calibri"/>
          <w:color w:val="000000"/>
        </w:rPr>
        <w:t xml:space="preserve"> et al., 2009, demonstrated that the IL-30/CLF1 complex can be secreted by activated dendritic cells. The IL-30/CLF1 heterodimer promotes NK cell activity, suppresses T helper cell proliferation, and stimulates production of IL-17 and IL-10.</w:t>
      </w:r>
      <w:r w:rsidRPr="00AA5765">
        <w:rPr>
          <w:rFonts w:ascii="Calibri" w:eastAsia="Times New Roman" w:hAnsi="Calibri" w:cs="Calibri"/>
          <w:color w:val="000000"/>
          <w:sz w:val="14"/>
          <w:szCs w:val="14"/>
        </w:rPr>
        <w:t xml:space="preserve">19 </w:t>
      </w:r>
      <w:proofErr w:type="spellStart"/>
      <w:r w:rsidRPr="00AA5765">
        <w:rPr>
          <w:rFonts w:ascii="Calibri" w:eastAsia="Times New Roman" w:hAnsi="Calibri" w:cs="Calibri"/>
          <w:color w:val="000000"/>
        </w:rPr>
        <w:t>Tormo</w:t>
      </w:r>
      <w:proofErr w:type="spellEnd"/>
      <w:r w:rsidRPr="00AA5765">
        <w:rPr>
          <w:rFonts w:ascii="Calibri" w:eastAsia="Times New Roman" w:hAnsi="Calibri" w:cs="Calibri"/>
          <w:color w:val="000000"/>
        </w:rPr>
        <w:t xml:space="preserve"> et al., 2013, reported that heterodimer of IL-30/CLF1 also acts on B cells to enhance antibody production and plasma cell differentiation.</w:t>
      </w:r>
      <w:r w:rsidRPr="00AA5765">
        <w:rPr>
          <w:rFonts w:ascii="Calibri" w:eastAsia="Times New Roman" w:hAnsi="Calibri" w:cs="Calibri"/>
          <w:color w:val="000000"/>
          <w:sz w:val="14"/>
          <w:szCs w:val="14"/>
        </w:rPr>
        <w:t xml:space="preserve">20 </w:t>
      </w:r>
      <w:r w:rsidRPr="00AA5765">
        <w:rPr>
          <w:rFonts w:ascii="Calibri" w:eastAsia="Times New Roman" w:hAnsi="Calibri" w:cs="Calibri"/>
          <w:color w:val="000000"/>
        </w:rPr>
        <w:t>As IL-30 is able to compose complexes with diverse partnering subunits, the receptors utilized by such divergent complexes are also variable. The receptor for IL-27 is a heterodimeric transmembrane protein composed of WSX-1 (IL-27Rα), an IL-6/IL-12 family receptor and GP130.</w:t>
      </w:r>
      <w:r w:rsidRPr="00AA5765">
        <w:rPr>
          <w:rFonts w:ascii="Calibri" w:eastAsia="Times New Roman" w:hAnsi="Calibri" w:cs="Calibri"/>
          <w:color w:val="000000"/>
          <w:sz w:val="14"/>
          <w:szCs w:val="14"/>
        </w:rPr>
        <w:t xml:space="preserve">21 </w:t>
      </w:r>
      <w:r w:rsidRPr="00AA5765">
        <w:rPr>
          <w:rFonts w:ascii="Calibri" w:eastAsia="Times New Roman" w:hAnsi="Calibri" w:cs="Calibri"/>
          <w:color w:val="000000"/>
        </w:rPr>
        <w:t xml:space="preserve">GP130 is shared by receptors for IL-6, IL-35, ciliary neurotrophic factor, and </w:t>
      </w:r>
      <w:proofErr w:type="spellStart"/>
      <w:r w:rsidRPr="00AA5765">
        <w:rPr>
          <w:rFonts w:ascii="Calibri" w:eastAsia="Times New Roman" w:hAnsi="Calibri" w:cs="Calibri"/>
          <w:color w:val="000000"/>
        </w:rPr>
        <w:t>cardiotrophin</w:t>
      </w:r>
      <w:proofErr w:type="spellEnd"/>
      <w:r w:rsidRPr="00AA5765">
        <w:rPr>
          <w:rFonts w:ascii="Calibri" w:eastAsia="Times New Roman" w:hAnsi="Calibri" w:cs="Calibri"/>
          <w:color w:val="000000"/>
        </w:rPr>
        <w:t xml:space="preserve">-like cytokine. GP130 is expressed throughout cells, including macrophages. </w:t>
      </w:r>
      <w:proofErr w:type="gramStart"/>
      <w:r w:rsidRPr="00AA5765">
        <w:rPr>
          <w:rFonts w:ascii="Calibri" w:eastAsia="Times New Roman" w:hAnsi="Calibri" w:cs="Calibri"/>
          <w:color w:val="000000"/>
        </w:rPr>
        <w:t>A number of</w:t>
      </w:r>
      <w:proofErr w:type="gramEnd"/>
      <w:r w:rsidRPr="00AA5765">
        <w:rPr>
          <w:rFonts w:ascii="Calibri" w:eastAsia="Times New Roman" w:hAnsi="Calibri" w:cs="Calibri"/>
          <w:color w:val="000000"/>
        </w:rPr>
        <w:t xml:space="preserve"> cytokines, including IL-6 and IL-27, bind to the GP130 subunit of cytokine receptors that inhibit macrophage activation, blocking their proinflammatory effects.</w:t>
      </w:r>
      <w:r w:rsidRPr="00AA5765">
        <w:rPr>
          <w:rFonts w:ascii="Calibri" w:eastAsia="Times New Roman" w:hAnsi="Calibri" w:cs="Calibri"/>
          <w:color w:val="000000"/>
          <w:sz w:val="14"/>
          <w:szCs w:val="14"/>
        </w:rPr>
        <w:t>10.</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 xml:space="preserve">The receptors utilized by IL-30/CLF1 complexes are somewhat distinct from the IL- 30/Ebi3 pair. Utilizing Ba/ F3 </w:t>
      </w:r>
      <w:proofErr w:type="spellStart"/>
      <w:r w:rsidRPr="00AA5765">
        <w:rPr>
          <w:rFonts w:ascii="Calibri" w:eastAsia="Times New Roman" w:hAnsi="Calibri" w:cs="Calibri"/>
          <w:color w:val="000000"/>
        </w:rPr>
        <w:t>transfectants</w:t>
      </w:r>
      <w:proofErr w:type="spellEnd"/>
      <w:r w:rsidRPr="00AA5765">
        <w:rPr>
          <w:rFonts w:ascii="Calibri" w:eastAsia="Times New Roman" w:hAnsi="Calibri" w:cs="Calibri"/>
          <w:color w:val="000000"/>
        </w:rPr>
        <w:t xml:space="preserve">, </w:t>
      </w:r>
      <w:proofErr w:type="spellStart"/>
      <w:r w:rsidRPr="00AA5765">
        <w:rPr>
          <w:rFonts w:ascii="Calibri" w:eastAsia="Times New Roman" w:hAnsi="Calibri" w:cs="Calibri"/>
          <w:color w:val="000000"/>
        </w:rPr>
        <w:t>Crabé</w:t>
      </w:r>
      <w:proofErr w:type="spellEnd"/>
      <w:r w:rsidRPr="00AA5765">
        <w:rPr>
          <w:rFonts w:ascii="Calibri" w:eastAsia="Times New Roman" w:hAnsi="Calibri" w:cs="Calibri"/>
          <w:color w:val="000000"/>
        </w:rPr>
        <w:t xml:space="preserve"> et al., 2009, demonstrated that IL-30/ CLF1 activates cells expressing IL-6Rα in addition to WSX-1, utilizing a tripartite receptor (GP130/WSX-1/IL- 6Ra). </w:t>
      </w:r>
      <w:proofErr w:type="gramStart"/>
      <w:r w:rsidRPr="00AA5765">
        <w:rPr>
          <w:rFonts w:ascii="Calibri" w:eastAsia="Times New Roman" w:hAnsi="Calibri" w:cs="Calibri"/>
          <w:color w:val="000000"/>
        </w:rPr>
        <w:t>Similar to</w:t>
      </w:r>
      <w:proofErr w:type="gramEnd"/>
      <w:r w:rsidRPr="00AA5765">
        <w:rPr>
          <w:rFonts w:ascii="Calibri" w:eastAsia="Times New Roman" w:hAnsi="Calibri" w:cs="Calibri"/>
          <w:color w:val="000000"/>
        </w:rPr>
        <w:t xml:space="preserve"> IL-27, IL- 30/CLF1 signaling utilizes the </w:t>
      </w:r>
      <w:proofErr w:type="spellStart"/>
      <w:r w:rsidRPr="00AA5765">
        <w:rPr>
          <w:rFonts w:ascii="Calibri" w:eastAsia="Times New Roman" w:hAnsi="Calibri" w:cs="Calibri"/>
          <w:color w:val="000000"/>
        </w:rPr>
        <w:t>Jak</w:t>
      </w:r>
      <w:proofErr w:type="spellEnd"/>
      <w:r w:rsidRPr="00AA5765">
        <w:rPr>
          <w:rFonts w:ascii="Calibri" w:eastAsia="Times New Roman" w:hAnsi="Calibri" w:cs="Calibri"/>
          <w:color w:val="000000"/>
        </w:rPr>
        <w:t>/Stat and activates both the Stat1 and Stat3 pathways. IL- 30 signaling via IL- 6Rα raises the possibility that IL-30 may associate with the soluble IL-6Rα protein to ‘trans-signal’ in target cells through GP130-expressing target cells.</w:t>
      </w:r>
      <w:r w:rsidRPr="00AA5765">
        <w:rPr>
          <w:rFonts w:ascii="Calibri" w:eastAsia="Times New Roman" w:hAnsi="Calibri" w:cs="Calibri"/>
          <w:color w:val="000000"/>
          <w:sz w:val="14"/>
          <w:szCs w:val="14"/>
        </w:rPr>
        <w:t xml:space="preserve">19 </w:t>
      </w:r>
      <w:r w:rsidRPr="00AA5765">
        <w:rPr>
          <w:rFonts w:ascii="Calibri" w:eastAsia="Times New Roman" w:hAnsi="Calibri" w:cs="Calibri"/>
          <w:color w:val="000000"/>
        </w:rPr>
        <w:t xml:space="preserve">Indeed, an IL- 30/sIL-6Rα fusion protein was able to stimulate STAT3 pathways and to induce the </w:t>
      </w:r>
      <w:r w:rsidRPr="00AA5765">
        <w:rPr>
          <w:rFonts w:ascii="Calibri" w:eastAsia="Times New Roman" w:hAnsi="Calibri" w:cs="Calibri"/>
          <w:color w:val="000000"/>
        </w:rPr>
        <w:lastRenderedPageBreak/>
        <w:t xml:space="preserve">proliferation of GP130 </w:t>
      </w:r>
      <w:proofErr w:type="spellStart"/>
      <w:r w:rsidRPr="00AA5765">
        <w:rPr>
          <w:rFonts w:ascii="Calibri" w:eastAsia="Times New Roman" w:hAnsi="Calibri" w:cs="Calibri"/>
          <w:color w:val="000000"/>
        </w:rPr>
        <w:t>transfectants</w:t>
      </w:r>
      <w:proofErr w:type="spellEnd"/>
      <w:r w:rsidRPr="00AA5765">
        <w:rPr>
          <w:rFonts w:ascii="Calibri" w:eastAsia="Times New Roman" w:hAnsi="Calibri" w:cs="Calibri"/>
          <w:color w:val="000000"/>
        </w:rPr>
        <w:t>. However, whether this “trans-signaling” mechanism occurs during immune responses remains to be investigated.</w:t>
      </w:r>
      <w:r w:rsidRPr="00AA5765">
        <w:rPr>
          <w:rFonts w:ascii="Calibri" w:eastAsia="Times New Roman" w:hAnsi="Calibri" w:cs="Calibri"/>
          <w:color w:val="000000"/>
          <w:sz w:val="14"/>
          <w:szCs w:val="14"/>
        </w:rPr>
        <w:t>22.</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IL-30 is secreted in response to Toll like receptor agonists such as lipopolysaccharide (LPS) as well as interferon (IFN) -γ treatment of both human and murine monocytic cells.</w:t>
      </w:r>
      <w:r w:rsidRPr="00AA5765">
        <w:rPr>
          <w:rFonts w:ascii="Calibri" w:eastAsia="Times New Roman" w:hAnsi="Calibri" w:cs="Calibri"/>
          <w:color w:val="000000"/>
          <w:sz w:val="14"/>
          <w:szCs w:val="14"/>
        </w:rPr>
        <w:t xml:space="preserve">23 </w:t>
      </w:r>
      <w:r w:rsidRPr="00AA5765">
        <w:rPr>
          <w:rFonts w:ascii="Calibri" w:eastAsia="Times New Roman" w:hAnsi="Calibri" w:cs="Calibri"/>
          <w:color w:val="000000"/>
        </w:rPr>
        <w:t>IFN-γ is one of the key cytokines in psoriasis. IFN-γ mRNA is elevated in skin lesions, with increased serum levels of IFN-</w:t>
      </w:r>
      <w:r w:rsidRPr="00AA5765">
        <w:rPr>
          <w:rFonts w:ascii="Symbol" w:eastAsia="Times New Roman" w:hAnsi="Symbol" w:cs="Times New Roman"/>
          <w:color w:val="000000"/>
        </w:rPr>
        <w:sym w:font="Symbol" w:char="F067"/>
      </w:r>
      <w:r w:rsidRPr="00AA5765">
        <w:rPr>
          <w:rFonts w:ascii="Symbol" w:eastAsia="Times New Roman" w:hAnsi="Symbol" w:cs="Times New Roman"/>
          <w:color w:val="000000"/>
        </w:rPr>
        <w:sym w:font="Symbol" w:char="F02E"/>
      </w:r>
      <w:r w:rsidRPr="00AA5765">
        <w:rPr>
          <w:rFonts w:ascii="Calibri" w:eastAsia="Times New Roman" w:hAnsi="Calibri" w:cs="Calibri"/>
          <w:color w:val="000000"/>
          <w:sz w:val="14"/>
          <w:szCs w:val="14"/>
        </w:rPr>
        <w:t xml:space="preserve">24 </w:t>
      </w:r>
      <w:r w:rsidRPr="00AA5765">
        <w:rPr>
          <w:rFonts w:ascii="Calibri" w:eastAsia="Times New Roman" w:hAnsi="Calibri" w:cs="Calibri"/>
          <w:color w:val="000000"/>
        </w:rPr>
        <w:t>Psoriasis individuals with metabolic syndrome showed a higher serum LPS concentration relative to controls. This may participate in increased production of IL-30.</w:t>
      </w:r>
      <w:r w:rsidRPr="00AA5765">
        <w:rPr>
          <w:rFonts w:ascii="Calibri" w:eastAsia="Times New Roman" w:hAnsi="Calibri" w:cs="Calibri"/>
          <w:color w:val="000000"/>
          <w:sz w:val="14"/>
          <w:szCs w:val="14"/>
        </w:rPr>
        <w:t>24</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 xml:space="preserve">Classically activated macrophages increase the inflammation and infiltration in psoriasis by production of proinflammatory molecules IL- 23p19 and IL-12/23p40 as well as TNF and </w:t>
      </w:r>
      <w:proofErr w:type="spellStart"/>
      <w:r w:rsidRPr="00AA5765">
        <w:rPr>
          <w:rFonts w:ascii="Calibri" w:eastAsia="Times New Roman" w:hAnsi="Calibri" w:cs="Calibri"/>
          <w:color w:val="000000"/>
        </w:rPr>
        <w:t>iNOS</w:t>
      </w:r>
      <w:proofErr w:type="spellEnd"/>
      <w:r w:rsidRPr="00AA5765">
        <w:rPr>
          <w:rFonts w:ascii="Calibri" w:eastAsia="Times New Roman" w:hAnsi="Calibri" w:cs="Calibri"/>
          <w:color w:val="000000"/>
        </w:rPr>
        <w:t xml:space="preserve"> that increase epidermal proliferation and disease severity</w:t>
      </w:r>
      <w:r w:rsidRPr="00AA5765">
        <w:rPr>
          <w:rFonts w:ascii="Calibri" w:eastAsia="Times New Roman" w:hAnsi="Calibri" w:cs="Calibri"/>
          <w:color w:val="000000"/>
          <w:sz w:val="14"/>
          <w:szCs w:val="14"/>
        </w:rPr>
        <w:t xml:space="preserve">25 </w:t>
      </w:r>
      <w:r w:rsidRPr="00AA5765">
        <w:rPr>
          <w:rFonts w:ascii="Calibri" w:eastAsia="Times New Roman" w:hAnsi="Calibri" w:cs="Calibri"/>
          <w:color w:val="000000"/>
        </w:rPr>
        <w:t xml:space="preserve">IL-30 decrease the production of tumor necrosis factor (TNF) and IL-6 in </w:t>
      </w:r>
      <w:proofErr w:type="spellStart"/>
      <w:r w:rsidRPr="00AA5765">
        <w:rPr>
          <w:rFonts w:ascii="Calibri" w:eastAsia="Times New Roman" w:hAnsi="Calibri" w:cs="Calibri"/>
          <w:color w:val="000000"/>
        </w:rPr>
        <w:t>LPSstimulated</w:t>
      </w:r>
      <w:proofErr w:type="spellEnd"/>
      <w:r w:rsidRPr="00AA5765">
        <w:rPr>
          <w:rFonts w:ascii="Calibri" w:eastAsia="Times New Roman" w:hAnsi="Calibri" w:cs="Calibri"/>
          <w:color w:val="000000"/>
        </w:rPr>
        <w:t xml:space="preserve"> RAW 264.7 macrophages in a </w:t>
      </w:r>
      <w:proofErr w:type="spellStart"/>
      <w:r w:rsidRPr="00AA5765">
        <w:rPr>
          <w:rFonts w:ascii="Calibri" w:eastAsia="Times New Roman" w:hAnsi="Calibri" w:cs="Calibri"/>
          <w:color w:val="000000"/>
        </w:rPr>
        <w:t>dosedependent</w:t>
      </w:r>
      <w:proofErr w:type="spellEnd"/>
      <w:r w:rsidRPr="00AA5765">
        <w:rPr>
          <w:rFonts w:ascii="Calibri" w:eastAsia="Times New Roman" w:hAnsi="Calibri" w:cs="Calibri"/>
          <w:color w:val="000000"/>
        </w:rPr>
        <w:t xml:space="preserve"> manner.</w:t>
      </w:r>
      <w:r w:rsidRPr="00AA5765">
        <w:rPr>
          <w:rFonts w:ascii="Calibri" w:eastAsia="Times New Roman" w:hAnsi="Calibri" w:cs="Calibri"/>
          <w:color w:val="000000"/>
          <w:sz w:val="14"/>
          <w:szCs w:val="14"/>
        </w:rPr>
        <w:t>10</w:t>
      </w:r>
    </w:p>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color w:val="000000"/>
        </w:rPr>
        <w:t>In this study, serum levels of GP130 in psoriatic patients were comparable to their levels in the control group. This result was consistent with that obtained by another study.</w:t>
      </w:r>
      <w:r w:rsidRPr="00AA5765">
        <w:rPr>
          <w:rFonts w:ascii="Calibri" w:eastAsia="Times New Roman" w:hAnsi="Calibri" w:cs="Calibri"/>
          <w:color w:val="000000"/>
          <w:sz w:val="14"/>
          <w:szCs w:val="14"/>
        </w:rPr>
        <w:t xml:space="preserve">26 </w:t>
      </w:r>
      <w:r w:rsidRPr="00AA5765">
        <w:rPr>
          <w:rFonts w:ascii="Calibri" w:eastAsia="Times New Roman" w:hAnsi="Calibri" w:cs="Calibri"/>
          <w:color w:val="000000"/>
        </w:rPr>
        <w:t>There was no change in plasma levels of GP130 in patients with psoriasis compared to controls. The same study also reported a close correlation between IL-6 plasma concentrations and the severity of the disease, so increased plasma soluble IL-6R level did not correlate with</w:t>
      </w:r>
    </w:p>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color w:val="000000"/>
          <w:sz w:val="20"/>
          <w:szCs w:val="20"/>
        </w:rPr>
        <w:t xml:space="preserve">69 </w:t>
      </w:r>
      <w:r w:rsidRPr="00AA5765">
        <w:rPr>
          <w:rFonts w:ascii="Calibri" w:eastAsia="Times New Roman" w:hAnsi="Calibri" w:cs="Calibri"/>
          <w:i/>
          <w:iCs/>
          <w:color w:val="000000"/>
        </w:rPr>
        <w:t>The Egyptian Journal of Immunology</w:t>
      </w:r>
    </w:p>
    <w:p w:rsidR="00AA5765" w:rsidRPr="00AA5765" w:rsidRDefault="00AA5765" w:rsidP="00AA5765">
      <w:pPr>
        <w:spacing w:after="0" w:line="240" w:lineRule="auto"/>
        <w:rPr>
          <w:rFonts w:ascii="Calibri" w:eastAsia="Times New Roman" w:hAnsi="Calibri" w:cs="Calibri"/>
          <w:color w:val="000000"/>
          <w:sz w:val="14"/>
          <w:szCs w:val="14"/>
        </w:rPr>
      </w:pPr>
      <w:r w:rsidRPr="00AA5765">
        <w:rPr>
          <w:rFonts w:ascii="Calibri" w:eastAsia="Times New Roman" w:hAnsi="Calibri" w:cs="Calibri"/>
          <w:color w:val="000000"/>
        </w:rPr>
        <w:t>the altered expression of soluble GP130, which causes the enhanced IL-6 trans-signaling.</w:t>
      </w:r>
      <w:r w:rsidRPr="00AA5765">
        <w:rPr>
          <w:rFonts w:ascii="Calibri" w:eastAsia="Times New Roman" w:hAnsi="Calibri" w:cs="Calibri"/>
          <w:color w:val="000000"/>
          <w:sz w:val="14"/>
          <w:szCs w:val="14"/>
        </w:rPr>
        <w:t>26</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Soluble IL-6R and soluble GP130 collaboratively regulate the pathophysiology of many inflammatory diseases like rheumatoid arthritis and myocardial infarction. There is a correlation between high circulating soluble IL- 6R and low soluble GP130 level with worse outcome in these diseases.</w:t>
      </w:r>
      <w:r w:rsidRPr="00AA5765">
        <w:rPr>
          <w:rFonts w:ascii="Calibri" w:eastAsia="Times New Roman" w:hAnsi="Calibri" w:cs="Calibri"/>
          <w:color w:val="000000"/>
          <w:sz w:val="14"/>
          <w:szCs w:val="14"/>
        </w:rPr>
        <w:t xml:space="preserve">27 </w:t>
      </w:r>
      <w:r w:rsidRPr="00AA5765">
        <w:rPr>
          <w:rFonts w:ascii="Calibri" w:eastAsia="Times New Roman" w:hAnsi="Calibri" w:cs="Calibri"/>
          <w:color w:val="000000"/>
        </w:rPr>
        <w:t>Soluble GP130FC competitively inhibits the binding of IL-6 to its membrane-bound receptor and has therefore been used as an IL-6 antagonist in the clinical treatment of some immunological diseases.</w:t>
      </w:r>
      <w:r w:rsidRPr="00AA5765">
        <w:rPr>
          <w:rFonts w:ascii="Calibri" w:eastAsia="Times New Roman" w:hAnsi="Calibri" w:cs="Calibri"/>
          <w:color w:val="000000"/>
          <w:sz w:val="14"/>
          <w:szCs w:val="14"/>
        </w:rPr>
        <w:t xml:space="preserve">28 </w:t>
      </w:r>
      <w:r w:rsidRPr="00AA5765">
        <w:rPr>
          <w:rFonts w:ascii="Calibri" w:eastAsia="Times New Roman" w:hAnsi="Calibri" w:cs="Calibri"/>
          <w:color w:val="000000"/>
        </w:rPr>
        <w:t>This may explain our results of unaltered levels of soluble GP130 in psoriasis patients in comparison to the control group. Accordingly, we supposed that unaltered GP130 levels leads to enhanced IL-30 trans-signaling via IL27R and/or IL-6Ra, if IL-30 /CLF1 heterodimer has been formed.</w:t>
      </w:r>
      <w:r w:rsidRPr="00AA5765">
        <w:rPr>
          <w:rFonts w:ascii="Calibri" w:eastAsia="Times New Roman" w:hAnsi="Calibri" w:cs="Calibri"/>
          <w:color w:val="000000"/>
          <w:sz w:val="14"/>
          <w:szCs w:val="14"/>
        </w:rPr>
        <w:t xml:space="preserve">19 </w:t>
      </w:r>
      <w:r w:rsidRPr="00AA5765">
        <w:rPr>
          <w:rFonts w:ascii="Calibri" w:eastAsia="Times New Roman" w:hAnsi="Calibri" w:cs="Calibri"/>
          <w:color w:val="000000"/>
        </w:rPr>
        <w:t>However, this axis has to be investigated to establish its role in the immune mechanism.</w:t>
      </w:r>
    </w:p>
    <w:p w:rsidR="00AA5765" w:rsidRPr="00AA5765" w:rsidRDefault="00AA5765" w:rsidP="00AA5765">
      <w:pPr>
        <w:spacing w:after="0" w:line="240" w:lineRule="auto"/>
        <w:rPr>
          <w:rFonts w:ascii="Calibri" w:eastAsia="Times New Roman" w:hAnsi="Calibri" w:cs="Calibri"/>
          <w:color w:val="000000"/>
        </w:rPr>
      </w:pPr>
      <w:r w:rsidRPr="00AA5765">
        <w:rPr>
          <w:rFonts w:ascii="Calibri" w:eastAsia="Times New Roman" w:hAnsi="Calibri" w:cs="Calibri"/>
          <w:color w:val="000000"/>
        </w:rPr>
        <w:t>In conclusion, IL-30 was elevated in psoriasis patients than controls, therefore, it can be considered a sensitive biomarker for diagnosis of psoriasis.</w:t>
      </w: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Acknowledgements</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We are appreciative of the Medical Research Centre and Clinical Pathology Department, Assiut University Hospital for their technical assistance with sample collection and preparation.</w:t>
      </w: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Author Contributions</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RRS; Conceptualization, Methodology, Formal analysis, Investigation, Validation, Funding acquisition. SAA; Conceptualization, Methodology, Formal analysis, Writing, review &amp; editing, Visualization, Validation, supervision, Project administration. ASF; Writing original draft, Writing, review &amp; editing, Visualization, Investigation, Validation. RAA; Investigation, Validation Writing, review &amp; editing, Visualization. ASG; Methodology, Formal analysis, Investigation, Validation.</w:t>
      </w: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Declaration of Conflicting Interests</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The author(s) declared no potential conflicts of interest with respect to the research, authorship, and/or publication of this article.</w:t>
      </w: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Funding</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The author(s) denies receipt of any financial support for the research, authorship, and/or publication of this article.</w:t>
      </w: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Ethical approval</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lastRenderedPageBreak/>
        <w:t>The study protocol was reviewed and approved by the Institutional Review Board of the Faculty of Medicine, Assiut University (Dated: October 2021).</w:t>
      </w: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Informed consent</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A written informed consent was obtained from each participant before being included in the study.</w:t>
      </w:r>
    </w:p>
    <w:p w:rsidR="00AA5765" w:rsidRPr="00AA5765" w:rsidRDefault="00AA5765" w:rsidP="00AA5765">
      <w:pPr>
        <w:spacing w:after="0" w:line="240" w:lineRule="auto"/>
        <w:rPr>
          <w:rFonts w:ascii="Calibri" w:eastAsia="Times New Roman" w:hAnsi="Calibri" w:cs="Calibri"/>
          <w:b/>
          <w:bCs/>
          <w:color w:val="17365D"/>
          <w:sz w:val="26"/>
          <w:szCs w:val="26"/>
        </w:rPr>
      </w:pPr>
      <w:r w:rsidRPr="00AA5765">
        <w:rPr>
          <w:rFonts w:ascii="Calibri" w:eastAsia="Times New Roman" w:hAnsi="Calibri" w:cs="Calibri"/>
          <w:b/>
          <w:bCs/>
          <w:color w:val="17365D"/>
          <w:sz w:val="26"/>
          <w:szCs w:val="26"/>
        </w:rPr>
        <w:t>References</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1. Abdallah, I., et al. (2020). "Epidemiological Study</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of Vitiligo in </w:t>
      </w:r>
      <w:proofErr w:type="spellStart"/>
      <w:r w:rsidRPr="00AA5765">
        <w:rPr>
          <w:rFonts w:ascii="Calibri" w:eastAsia="Times New Roman" w:hAnsi="Calibri" w:cs="Calibri"/>
          <w:color w:val="000000"/>
          <w:sz w:val="20"/>
          <w:szCs w:val="20"/>
        </w:rPr>
        <w:t>Damanhour</w:t>
      </w:r>
      <w:proofErr w:type="spellEnd"/>
      <w:r w:rsidRPr="00AA5765">
        <w:rPr>
          <w:rFonts w:ascii="Calibri" w:eastAsia="Times New Roman" w:hAnsi="Calibri" w:cs="Calibri"/>
          <w:color w:val="000000"/>
          <w:sz w:val="20"/>
          <w:szCs w:val="20"/>
        </w:rPr>
        <w:t xml:space="preserve"> Teaching Hospital."</w:t>
      </w:r>
    </w:p>
    <w:p w:rsidR="00AA5765" w:rsidRPr="00AA5765" w:rsidRDefault="00AA5765" w:rsidP="00AA5765">
      <w:pPr>
        <w:spacing w:after="0" w:line="240" w:lineRule="auto"/>
        <w:rPr>
          <w:rFonts w:ascii="Calibri" w:eastAsia="Times New Roman" w:hAnsi="Calibri" w:cs="Calibri"/>
          <w:color w:val="000000"/>
          <w:sz w:val="20"/>
          <w:szCs w:val="20"/>
        </w:rPr>
      </w:pPr>
      <w:proofErr w:type="spellStart"/>
      <w:r w:rsidRPr="00AA5765">
        <w:rPr>
          <w:rFonts w:ascii="Calibri" w:eastAsia="Times New Roman" w:hAnsi="Calibri" w:cs="Calibri"/>
          <w:i/>
          <w:iCs/>
          <w:color w:val="000000"/>
          <w:sz w:val="20"/>
          <w:szCs w:val="20"/>
        </w:rPr>
        <w:t>Benha</w:t>
      </w:r>
      <w:proofErr w:type="spellEnd"/>
      <w:r w:rsidRPr="00AA5765">
        <w:rPr>
          <w:rFonts w:ascii="Calibri" w:eastAsia="Times New Roman" w:hAnsi="Calibri" w:cs="Calibri"/>
          <w:i/>
          <w:iCs/>
          <w:color w:val="000000"/>
          <w:sz w:val="20"/>
          <w:szCs w:val="20"/>
        </w:rPr>
        <w:t xml:space="preserve"> Medical Journal </w:t>
      </w:r>
      <w:r w:rsidRPr="00AA5765">
        <w:rPr>
          <w:rFonts w:ascii="Calibri" w:eastAsia="Times New Roman" w:hAnsi="Calibri" w:cs="Calibri"/>
          <w:color w:val="000000"/>
          <w:sz w:val="20"/>
          <w:szCs w:val="20"/>
        </w:rPr>
        <w:t>37(1): 297-304.</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2. Ahmad AJIJCRT. (2020). A critical review of </w:t>
      </w:r>
      <w:proofErr w:type="spellStart"/>
      <w:r w:rsidRPr="00AA5765">
        <w:rPr>
          <w:rFonts w:ascii="Calibri" w:eastAsia="Times New Roman" w:hAnsi="Calibri" w:cs="Calibri"/>
          <w:color w:val="000000"/>
          <w:sz w:val="20"/>
          <w:szCs w:val="20"/>
        </w:rPr>
        <w:t>DausSadaf</w:t>
      </w:r>
      <w:proofErr w:type="spellEnd"/>
      <w:r w:rsidRPr="00AA5765">
        <w:rPr>
          <w:rFonts w:ascii="Calibri" w:eastAsia="Times New Roman" w:hAnsi="Calibri" w:cs="Calibri"/>
          <w:color w:val="000000"/>
          <w:sz w:val="20"/>
          <w:szCs w:val="20"/>
        </w:rPr>
        <w:t xml:space="preserve"> (Psoriasis): </w:t>
      </w:r>
      <w:r w:rsidRPr="00AA5765">
        <w:rPr>
          <w:rFonts w:ascii="Calibri" w:eastAsia="Times New Roman" w:hAnsi="Calibri" w:cs="Calibri"/>
          <w:i/>
          <w:iCs/>
          <w:color w:val="000000"/>
          <w:sz w:val="20"/>
          <w:szCs w:val="20"/>
        </w:rPr>
        <w:t>Unani &amp; modern perspectives</w:t>
      </w:r>
      <w:r w:rsidRPr="00AA5765">
        <w:rPr>
          <w:rFonts w:ascii="Calibri" w:eastAsia="Times New Roman" w:hAnsi="Calibri" w:cs="Calibri"/>
          <w:color w:val="000000"/>
          <w:sz w:val="20"/>
          <w:szCs w:val="20"/>
        </w:rPr>
        <w:t>.</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8(7):4570-82.</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3. Armstrong AW, Read CJJ. (2020).</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Pathophysiology, clinical presentation, and</w:t>
      </w:r>
    </w:p>
    <w:p w:rsidR="00AA5765" w:rsidRPr="00AA5765" w:rsidRDefault="00AA5765" w:rsidP="00AA5765">
      <w:pPr>
        <w:spacing w:after="0" w:line="240" w:lineRule="auto"/>
        <w:rPr>
          <w:rFonts w:ascii="Calibri" w:eastAsia="Times New Roman" w:hAnsi="Calibri" w:cs="Calibri"/>
          <w:i/>
          <w:iCs/>
          <w:color w:val="000000"/>
          <w:sz w:val="20"/>
          <w:szCs w:val="20"/>
        </w:rPr>
      </w:pPr>
      <w:r w:rsidRPr="00AA5765">
        <w:rPr>
          <w:rFonts w:ascii="Calibri" w:eastAsia="Times New Roman" w:hAnsi="Calibri" w:cs="Calibri"/>
          <w:color w:val="000000"/>
          <w:sz w:val="20"/>
          <w:szCs w:val="20"/>
        </w:rPr>
        <w:t xml:space="preserve">treatment of psoriasis: </w:t>
      </w:r>
      <w:r w:rsidRPr="00AA5765">
        <w:rPr>
          <w:rFonts w:ascii="Calibri" w:eastAsia="Times New Roman" w:hAnsi="Calibri" w:cs="Calibri"/>
          <w:i/>
          <w:iCs/>
          <w:color w:val="000000"/>
          <w:sz w:val="20"/>
          <w:szCs w:val="20"/>
        </w:rPr>
        <w:t>a review. AMA</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323(19):1945-60.</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4. </w:t>
      </w:r>
      <w:proofErr w:type="spellStart"/>
      <w:r w:rsidRPr="00AA5765">
        <w:rPr>
          <w:rFonts w:ascii="Calibri" w:eastAsia="Times New Roman" w:hAnsi="Calibri" w:cs="Calibri"/>
          <w:color w:val="000000"/>
          <w:sz w:val="20"/>
          <w:szCs w:val="20"/>
        </w:rPr>
        <w:t>Afonina</w:t>
      </w:r>
      <w:proofErr w:type="spellEnd"/>
      <w:r w:rsidRPr="00AA5765">
        <w:rPr>
          <w:rFonts w:ascii="Calibri" w:eastAsia="Times New Roman" w:hAnsi="Calibri" w:cs="Calibri"/>
          <w:color w:val="000000"/>
          <w:sz w:val="20"/>
          <w:szCs w:val="20"/>
        </w:rPr>
        <w:t>, I. S., et al. (2021). "Immune responses</w:t>
      </w:r>
    </w:p>
    <w:p w:rsidR="00AA5765" w:rsidRPr="00AA5765" w:rsidRDefault="00AA5765" w:rsidP="00AA5765">
      <w:pPr>
        <w:spacing w:after="0" w:line="240" w:lineRule="auto"/>
        <w:rPr>
          <w:rFonts w:ascii="Calibri" w:eastAsia="Times New Roman" w:hAnsi="Calibri" w:cs="Calibri"/>
          <w:i/>
          <w:iCs/>
          <w:color w:val="000000"/>
          <w:sz w:val="20"/>
          <w:szCs w:val="20"/>
        </w:rPr>
      </w:pPr>
      <w:r w:rsidRPr="00AA5765">
        <w:rPr>
          <w:rFonts w:ascii="Calibri" w:eastAsia="Times New Roman" w:hAnsi="Calibri" w:cs="Calibri"/>
          <w:color w:val="000000"/>
          <w:sz w:val="20"/>
          <w:szCs w:val="20"/>
        </w:rPr>
        <w:t xml:space="preserve">and therapeutic options in psoriasis." </w:t>
      </w:r>
      <w:r w:rsidRPr="00AA5765">
        <w:rPr>
          <w:rFonts w:ascii="Calibri" w:eastAsia="Times New Roman" w:hAnsi="Calibri" w:cs="Calibri"/>
          <w:i/>
          <w:iCs/>
          <w:color w:val="000000"/>
          <w:sz w:val="20"/>
          <w:szCs w:val="20"/>
        </w:rPr>
        <w:t>Cell Mol</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i/>
          <w:iCs/>
          <w:color w:val="000000"/>
          <w:sz w:val="20"/>
          <w:szCs w:val="20"/>
        </w:rPr>
        <w:t xml:space="preserve">Life Sci. </w:t>
      </w:r>
      <w:r w:rsidRPr="00AA5765">
        <w:rPr>
          <w:rFonts w:ascii="Calibri" w:eastAsia="Times New Roman" w:hAnsi="Calibri" w:cs="Calibri"/>
          <w:color w:val="000000"/>
          <w:sz w:val="20"/>
          <w:szCs w:val="20"/>
        </w:rPr>
        <w:t>78(6): 2709-2727.</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5. </w:t>
      </w:r>
      <w:proofErr w:type="spellStart"/>
      <w:r w:rsidRPr="00AA5765">
        <w:rPr>
          <w:rFonts w:ascii="Calibri" w:eastAsia="Times New Roman" w:hAnsi="Calibri" w:cs="Calibri"/>
          <w:color w:val="000000"/>
          <w:sz w:val="20"/>
          <w:szCs w:val="20"/>
        </w:rPr>
        <w:t>Albanesi</w:t>
      </w:r>
      <w:proofErr w:type="spellEnd"/>
      <w:r w:rsidRPr="00AA5765">
        <w:rPr>
          <w:rFonts w:ascii="Calibri" w:eastAsia="Times New Roman" w:hAnsi="Calibri" w:cs="Calibri"/>
          <w:color w:val="000000"/>
          <w:sz w:val="20"/>
          <w:szCs w:val="20"/>
        </w:rPr>
        <w:t xml:space="preserve"> C, Madonna S, </w:t>
      </w:r>
      <w:proofErr w:type="spellStart"/>
      <w:r w:rsidRPr="00AA5765">
        <w:rPr>
          <w:rFonts w:ascii="Calibri" w:eastAsia="Times New Roman" w:hAnsi="Calibri" w:cs="Calibri"/>
          <w:color w:val="000000"/>
          <w:sz w:val="20"/>
          <w:szCs w:val="20"/>
        </w:rPr>
        <w:t>Gisondi</w:t>
      </w:r>
      <w:proofErr w:type="spellEnd"/>
      <w:r w:rsidRPr="00AA5765">
        <w:rPr>
          <w:rFonts w:ascii="Calibri" w:eastAsia="Times New Roman" w:hAnsi="Calibri" w:cs="Calibri"/>
          <w:color w:val="000000"/>
          <w:sz w:val="20"/>
          <w:szCs w:val="20"/>
        </w:rPr>
        <w:t xml:space="preserve"> P, et al.</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(2018</w:t>
      </w:r>
      <w:proofErr w:type="gramStart"/>
      <w:r w:rsidRPr="00AA5765">
        <w:rPr>
          <w:rFonts w:ascii="Calibri" w:eastAsia="Times New Roman" w:hAnsi="Calibri" w:cs="Calibri"/>
          <w:color w:val="000000"/>
          <w:sz w:val="20"/>
          <w:szCs w:val="20"/>
        </w:rPr>
        <w:t>).The</w:t>
      </w:r>
      <w:proofErr w:type="gramEnd"/>
      <w:r w:rsidRPr="00AA5765">
        <w:rPr>
          <w:rFonts w:ascii="Calibri" w:eastAsia="Times New Roman" w:hAnsi="Calibri" w:cs="Calibri"/>
          <w:color w:val="000000"/>
          <w:sz w:val="20"/>
          <w:szCs w:val="20"/>
        </w:rPr>
        <w:t xml:space="preserve"> interplay between keratinocytes and</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immune cells in the pathogenesis of psoriasis.</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i/>
          <w:iCs/>
          <w:color w:val="000000"/>
          <w:sz w:val="20"/>
          <w:szCs w:val="20"/>
        </w:rPr>
        <w:t xml:space="preserve">Front Immunol. </w:t>
      </w:r>
      <w:r w:rsidRPr="00AA5765">
        <w:rPr>
          <w:rFonts w:ascii="Calibri" w:eastAsia="Times New Roman" w:hAnsi="Calibri" w:cs="Calibri"/>
          <w:color w:val="000000"/>
          <w:sz w:val="20"/>
          <w:szCs w:val="20"/>
        </w:rPr>
        <w:t>9:1549.</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6. Hu P, Wang M, Gao H, et al. (2021). The Role of</w:t>
      </w:r>
    </w:p>
    <w:p w:rsidR="00AA5765" w:rsidRPr="00AA5765" w:rsidRDefault="00AA5765" w:rsidP="00AA5765">
      <w:pPr>
        <w:spacing w:after="0" w:line="240" w:lineRule="auto"/>
        <w:rPr>
          <w:rFonts w:ascii="Calibri" w:eastAsia="Times New Roman" w:hAnsi="Calibri" w:cs="Calibri"/>
          <w:i/>
          <w:iCs/>
          <w:color w:val="000000"/>
          <w:sz w:val="20"/>
          <w:szCs w:val="20"/>
        </w:rPr>
      </w:pPr>
      <w:r w:rsidRPr="00AA5765">
        <w:rPr>
          <w:rFonts w:ascii="Calibri" w:eastAsia="Times New Roman" w:hAnsi="Calibri" w:cs="Calibri"/>
          <w:color w:val="000000"/>
          <w:sz w:val="20"/>
          <w:szCs w:val="20"/>
        </w:rPr>
        <w:t xml:space="preserve">Helper T Cells in Psoriasis. </w:t>
      </w:r>
      <w:r w:rsidRPr="00AA5765">
        <w:rPr>
          <w:rFonts w:ascii="Calibri" w:eastAsia="Times New Roman" w:hAnsi="Calibri" w:cs="Calibri"/>
          <w:i/>
          <w:iCs/>
          <w:color w:val="000000"/>
          <w:sz w:val="20"/>
          <w:szCs w:val="20"/>
        </w:rPr>
        <w:t>Frontiers in</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i/>
          <w:iCs/>
          <w:color w:val="000000"/>
          <w:sz w:val="20"/>
          <w:szCs w:val="20"/>
        </w:rPr>
        <w:t>Immunology</w:t>
      </w:r>
      <w:r w:rsidRPr="00AA5765">
        <w:rPr>
          <w:rFonts w:ascii="Calibri" w:eastAsia="Times New Roman" w:hAnsi="Calibri" w:cs="Calibri"/>
          <w:color w:val="000000"/>
          <w:sz w:val="20"/>
          <w:szCs w:val="20"/>
        </w:rPr>
        <w:t>. 12.</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7. Turner MD, </w:t>
      </w:r>
      <w:proofErr w:type="spellStart"/>
      <w:r w:rsidRPr="00AA5765">
        <w:rPr>
          <w:rFonts w:ascii="Calibri" w:eastAsia="Times New Roman" w:hAnsi="Calibri" w:cs="Calibri"/>
          <w:color w:val="000000"/>
          <w:sz w:val="20"/>
          <w:szCs w:val="20"/>
        </w:rPr>
        <w:t>Nedjai</w:t>
      </w:r>
      <w:proofErr w:type="spellEnd"/>
      <w:r w:rsidRPr="00AA5765">
        <w:rPr>
          <w:rFonts w:ascii="Calibri" w:eastAsia="Times New Roman" w:hAnsi="Calibri" w:cs="Calibri"/>
          <w:color w:val="000000"/>
          <w:sz w:val="20"/>
          <w:szCs w:val="20"/>
        </w:rPr>
        <w:t xml:space="preserve"> B, Hurst T, et al. (2014).</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Cytokines and chemokines: At the crossroads of</w:t>
      </w:r>
    </w:p>
    <w:p w:rsidR="00AA5765" w:rsidRPr="00AA5765" w:rsidRDefault="00AA5765" w:rsidP="00AA5765">
      <w:pPr>
        <w:spacing w:after="0" w:line="240" w:lineRule="auto"/>
        <w:rPr>
          <w:rFonts w:ascii="Calibri" w:eastAsia="Times New Roman" w:hAnsi="Calibri" w:cs="Calibri"/>
          <w:i/>
          <w:iCs/>
          <w:color w:val="000000"/>
          <w:sz w:val="20"/>
          <w:szCs w:val="20"/>
        </w:rPr>
      </w:pPr>
      <w:r w:rsidRPr="00AA5765">
        <w:rPr>
          <w:rFonts w:ascii="Calibri" w:eastAsia="Times New Roman" w:hAnsi="Calibri" w:cs="Calibri"/>
          <w:color w:val="000000"/>
          <w:sz w:val="20"/>
          <w:szCs w:val="20"/>
        </w:rPr>
        <w:t xml:space="preserve">cell </w:t>
      </w:r>
      <w:proofErr w:type="spellStart"/>
      <w:r w:rsidRPr="00AA5765">
        <w:rPr>
          <w:rFonts w:ascii="Calibri" w:eastAsia="Times New Roman" w:hAnsi="Calibri" w:cs="Calibri"/>
          <w:color w:val="000000"/>
          <w:sz w:val="20"/>
          <w:szCs w:val="20"/>
        </w:rPr>
        <w:t>signalling</w:t>
      </w:r>
      <w:proofErr w:type="spellEnd"/>
      <w:r w:rsidRPr="00AA5765">
        <w:rPr>
          <w:rFonts w:ascii="Calibri" w:eastAsia="Times New Roman" w:hAnsi="Calibri" w:cs="Calibri"/>
          <w:color w:val="000000"/>
          <w:sz w:val="20"/>
          <w:szCs w:val="20"/>
        </w:rPr>
        <w:t xml:space="preserve"> and inflammatory disease. </w:t>
      </w:r>
      <w:proofErr w:type="spellStart"/>
      <w:r w:rsidRPr="00AA5765">
        <w:rPr>
          <w:rFonts w:ascii="Calibri" w:eastAsia="Times New Roman" w:hAnsi="Calibri" w:cs="Calibri"/>
          <w:i/>
          <w:iCs/>
          <w:color w:val="000000"/>
          <w:sz w:val="20"/>
          <w:szCs w:val="20"/>
        </w:rPr>
        <w:t>Biochim</w:t>
      </w:r>
      <w:proofErr w:type="spellEnd"/>
    </w:p>
    <w:p w:rsidR="00AA5765" w:rsidRPr="00AA5765" w:rsidRDefault="00AA5765" w:rsidP="00AA5765">
      <w:pPr>
        <w:spacing w:after="0" w:line="240" w:lineRule="auto"/>
        <w:rPr>
          <w:rFonts w:ascii="Calibri" w:eastAsia="Times New Roman" w:hAnsi="Calibri" w:cs="Calibri"/>
          <w:color w:val="000000"/>
          <w:sz w:val="20"/>
          <w:szCs w:val="20"/>
        </w:rPr>
      </w:pPr>
      <w:proofErr w:type="spellStart"/>
      <w:r w:rsidRPr="00AA5765">
        <w:rPr>
          <w:rFonts w:ascii="Calibri" w:eastAsia="Times New Roman" w:hAnsi="Calibri" w:cs="Calibri"/>
          <w:i/>
          <w:iCs/>
          <w:color w:val="000000"/>
          <w:sz w:val="20"/>
          <w:szCs w:val="20"/>
        </w:rPr>
        <w:t>Biophys</w:t>
      </w:r>
      <w:proofErr w:type="spellEnd"/>
      <w:r w:rsidRPr="00AA5765">
        <w:rPr>
          <w:rFonts w:ascii="Calibri" w:eastAsia="Times New Roman" w:hAnsi="Calibri" w:cs="Calibri"/>
          <w:i/>
          <w:iCs/>
          <w:color w:val="000000"/>
          <w:sz w:val="20"/>
          <w:szCs w:val="20"/>
        </w:rPr>
        <w:t xml:space="preserve"> Acta; </w:t>
      </w:r>
      <w:r w:rsidRPr="00AA5765">
        <w:rPr>
          <w:rFonts w:ascii="Calibri" w:eastAsia="Times New Roman" w:hAnsi="Calibri" w:cs="Calibri"/>
          <w:color w:val="000000"/>
          <w:sz w:val="20"/>
          <w:szCs w:val="20"/>
        </w:rPr>
        <w:t>1843(11):2563-82.</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8. </w:t>
      </w:r>
      <w:proofErr w:type="spellStart"/>
      <w:r w:rsidRPr="00AA5765">
        <w:rPr>
          <w:rFonts w:ascii="Calibri" w:eastAsia="Times New Roman" w:hAnsi="Calibri" w:cs="Calibri"/>
          <w:color w:val="000000"/>
          <w:sz w:val="20"/>
          <w:szCs w:val="20"/>
        </w:rPr>
        <w:t>Baliwag</w:t>
      </w:r>
      <w:proofErr w:type="spellEnd"/>
      <w:r w:rsidRPr="00AA5765">
        <w:rPr>
          <w:rFonts w:ascii="Calibri" w:eastAsia="Times New Roman" w:hAnsi="Calibri" w:cs="Calibri"/>
          <w:color w:val="000000"/>
          <w:sz w:val="20"/>
          <w:szCs w:val="20"/>
        </w:rPr>
        <w:t xml:space="preserve"> J, Barnes DH, Johnston A. (2015).</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Cytokines in psoriasis. </w:t>
      </w:r>
      <w:r w:rsidRPr="00AA5765">
        <w:rPr>
          <w:rFonts w:ascii="Calibri" w:eastAsia="Times New Roman" w:hAnsi="Calibri" w:cs="Calibri"/>
          <w:i/>
          <w:iCs/>
          <w:color w:val="000000"/>
          <w:sz w:val="20"/>
          <w:szCs w:val="20"/>
        </w:rPr>
        <w:t xml:space="preserve">Cytokine. </w:t>
      </w:r>
      <w:r w:rsidRPr="00AA5765">
        <w:rPr>
          <w:rFonts w:ascii="Calibri" w:eastAsia="Times New Roman" w:hAnsi="Calibri" w:cs="Calibri"/>
          <w:color w:val="000000"/>
          <w:sz w:val="20"/>
          <w:szCs w:val="20"/>
        </w:rPr>
        <w:t>73(2):342-50.</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9. Hasegawa H, Mizoguchi I, Chiba Y, et al. (2016).</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Expanding diversity in molecular structures and</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functions of the IL-6/IL-12 heterodimeric cytokine</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family. </w:t>
      </w:r>
      <w:r w:rsidRPr="00AA5765">
        <w:rPr>
          <w:rFonts w:ascii="Calibri" w:eastAsia="Times New Roman" w:hAnsi="Calibri" w:cs="Calibri"/>
          <w:i/>
          <w:iCs/>
          <w:color w:val="000000"/>
          <w:sz w:val="20"/>
          <w:szCs w:val="20"/>
        </w:rPr>
        <w:t xml:space="preserve">Frontiers in immunology. </w:t>
      </w:r>
      <w:r w:rsidRPr="00AA5765">
        <w:rPr>
          <w:rFonts w:ascii="Calibri" w:eastAsia="Times New Roman" w:hAnsi="Calibri" w:cs="Calibri"/>
          <w:color w:val="000000"/>
          <w:sz w:val="20"/>
          <w:szCs w:val="20"/>
        </w:rPr>
        <w:t>7:479.</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10. Liu X, Wang Z, Ye N, et al. (2013). A protective</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role of IL-30 via STAT and ERK signaling pathways</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in macrophage-mediated inflammation.</w:t>
      </w:r>
    </w:p>
    <w:p w:rsidR="00AA5765" w:rsidRPr="00AA5765" w:rsidRDefault="00AA5765" w:rsidP="00AA5765">
      <w:pPr>
        <w:spacing w:after="0" w:line="240" w:lineRule="auto"/>
        <w:rPr>
          <w:rFonts w:ascii="Calibri" w:eastAsia="Times New Roman" w:hAnsi="Calibri" w:cs="Calibri"/>
          <w:i/>
          <w:iCs/>
          <w:color w:val="000000"/>
          <w:sz w:val="20"/>
          <w:szCs w:val="20"/>
        </w:rPr>
      </w:pPr>
      <w:r w:rsidRPr="00AA5765">
        <w:rPr>
          <w:rFonts w:ascii="Calibri" w:eastAsia="Times New Roman" w:hAnsi="Calibri" w:cs="Calibri"/>
          <w:i/>
          <w:iCs/>
          <w:color w:val="000000"/>
          <w:sz w:val="20"/>
          <w:szCs w:val="20"/>
        </w:rPr>
        <w:t>Biochemical and biophysical research</w:t>
      </w:r>
    </w:p>
    <w:p w:rsidR="00AA5765" w:rsidRPr="00AA5765" w:rsidRDefault="00AA5765" w:rsidP="00AA5765">
      <w:pPr>
        <w:spacing w:after="0" w:line="240" w:lineRule="auto"/>
        <w:rPr>
          <w:rFonts w:ascii="Times New Roman" w:eastAsia="Times New Roman" w:hAnsi="Times New Roman" w:cs="Times New Roman"/>
          <w:sz w:val="24"/>
          <w:szCs w:val="24"/>
        </w:rPr>
      </w:pPr>
      <w:r w:rsidRPr="00AA5765">
        <w:rPr>
          <w:rFonts w:ascii="Calibri" w:eastAsia="Times New Roman" w:hAnsi="Calibri" w:cs="Calibri"/>
          <w:i/>
          <w:iCs/>
          <w:color w:val="000000"/>
          <w:sz w:val="20"/>
          <w:szCs w:val="20"/>
        </w:rPr>
        <w:t>communications</w:t>
      </w:r>
      <w:r w:rsidRPr="00AA5765">
        <w:rPr>
          <w:rFonts w:ascii="Calibri" w:eastAsia="Times New Roman" w:hAnsi="Calibri" w:cs="Calibri"/>
          <w:color w:val="000000"/>
          <w:sz w:val="20"/>
          <w:szCs w:val="20"/>
        </w:rPr>
        <w:t>. 435(2):306-12.</w:t>
      </w:r>
    </w:p>
    <w:p w:rsidR="00AA5765" w:rsidRPr="00AA5765" w:rsidRDefault="00AA5765" w:rsidP="00AA5765">
      <w:pPr>
        <w:spacing w:after="0" w:line="240" w:lineRule="auto"/>
        <w:rPr>
          <w:rFonts w:ascii="Calibri" w:eastAsia="Times New Roman" w:hAnsi="Calibri" w:cs="Calibri"/>
          <w:i/>
          <w:iCs/>
          <w:color w:val="000000"/>
        </w:rPr>
      </w:pPr>
      <w:r w:rsidRPr="00AA5765">
        <w:rPr>
          <w:rFonts w:ascii="Calibri" w:eastAsia="Times New Roman" w:hAnsi="Calibri" w:cs="Calibri"/>
          <w:color w:val="000000"/>
          <w:sz w:val="20"/>
          <w:szCs w:val="20"/>
        </w:rPr>
        <w:t xml:space="preserve">70 </w:t>
      </w:r>
      <w:r w:rsidRPr="00AA5765">
        <w:rPr>
          <w:rFonts w:ascii="Calibri" w:eastAsia="Times New Roman" w:hAnsi="Calibri" w:cs="Calibri"/>
          <w:i/>
          <w:iCs/>
          <w:color w:val="000000"/>
        </w:rPr>
        <w:t>Shehata et al</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11. Min B, Kim D, </w:t>
      </w:r>
      <w:proofErr w:type="spellStart"/>
      <w:r w:rsidRPr="00AA5765">
        <w:rPr>
          <w:rFonts w:ascii="Calibri" w:eastAsia="Times New Roman" w:hAnsi="Calibri" w:cs="Calibri"/>
          <w:color w:val="000000"/>
          <w:sz w:val="20"/>
          <w:szCs w:val="20"/>
        </w:rPr>
        <w:t>Feige</w:t>
      </w:r>
      <w:proofErr w:type="spellEnd"/>
      <w:r w:rsidRPr="00AA5765">
        <w:rPr>
          <w:rFonts w:ascii="Calibri" w:eastAsia="Times New Roman" w:hAnsi="Calibri" w:cs="Calibri"/>
          <w:color w:val="000000"/>
          <w:sz w:val="20"/>
          <w:szCs w:val="20"/>
        </w:rPr>
        <w:t xml:space="preserve"> MJ. (2021). IL-30†(IL-27A): a familiar stranger in immunity, inflammation, and cancer. </w:t>
      </w:r>
      <w:r w:rsidRPr="00AA5765">
        <w:rPr>
          <w:rFonts w:ascii="Calibri" w:eastAsia="Times New Roman" w:hAnsi="Calibri" w:cs="Calibri"/>
          <w:i/>
          <w:iCs/>
          <w:color w:val="000000"/>
          <w:sz w:val="20"/>
          <w:szCs w:val="20"/>
        </w:rPr>
        <w:t>Experimental &amp; Molecular Medicine</w:t>
      </w:r>
      <w:r w:rsidRPr="00AA5765">
        <w:rPr>
          <w:rFonts w:ascii="Calibri" w:eastAsia="Times New Roman" w:hAnsi="Calibri" w:cs="Calibri"/>
          <w:color w:val="000000"/>
          <w:sz w:val="20"/>
          <w:szCs w:val="20"/>
        </w:rPr>
        <w:t>. 53(5):823-34.</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12. Sims NA, (2016). Cell-specific paracrine actions of IL-6 family cytokines from bone, marrow and muscle that control bone formation and resorption. </w:t>
      </w:r>
      <w:r w:rsidRPr="00AA5765">
        <w:rPr>
          <w:rFonts w:ascii="Calibri" w:eastAsia="Times New Roman" w:hAnsi="Calibri" w:cs="Calibri"/>
          <w:i/>
          <w:iCs/>
          <w:color w:val="000000"/>
          <w:sz w:val="20"/>
          <w:szCs w:val="20"/>
        </w:rPr>
        <w:t xml:space="preserve">Int J </w:t>
      </w:r>
      <w:proofErr w:type="spellStart"/>
      <w:r w:rsidRPr="00AA5765">
        <w:rPr>
          <w:rFonts w:ascii="Calibri" w:eastAsia="Times New Roman" w:hAnsi="Calibri" w:cs="Calibri"/>
          <w:i/>
          <w:iCs/>
          <w:color w:val="000000"/>
          <w:sz w:val="20"/>
          <w:szCs w:val="20"/>
        </w:rPr>
        <w:t>Biochem</w:t>
      </w:r>
      <w:proofErr w:type="spellEnd"/>
      <w:r w:rsidRPr="00AA5765">
        <w:rPr>
          <w:rFonts w:ascii="Calibri" w:eastAsia="Times New Roman" w:hAnsi="Calibri" w:cs="Calibri"/>
          <w:i/>
          <w:iCs/>
          <w:color w:val="000000"/>
          <w:sz w:val="20"/>
          <w:szCs w:val="20"/>
        </w:rPr>
        <w:t xml:space="preserve"> Cell Biol</w:t>
      </w:r>
      <w:r w:rsidRPr="00AA5765">
        <w:rPr>
          <w:rFonts w:ascii="Calibri" w:eastAsia="Times New Roman" w:hAnsi="Calibri" w:cs="Calibri"/>
          <w:color w:val="000000"/>
          <w:sz w:val="20"/>
          <w:szCs w:val="20"/>
        </w:rPr>
        <w:t>; 79:14-23.</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13. </w:t>
      </w:r>
      <w:proofErr w:type="spellStart"/>
      <w:r w:rsidRPr="00AA5765">
        <w:rPr>
          <w:rFonts w:ascii="Calibri" w:eastAsia="Times New Roman" w:hAnsi="Calibri" w:cs="Calibri"/>
          <w:color w:val="000000"/>
          <w:sz w:val="20"/>
          <w:szCs w:val="20"/>
        </w:rPr>
        <w:t>Garbers</w:t>
      </w:r>
      <w:proofErr w:type="spellEnd"/>
      <w:r w:rsidRPr="00AA5765">
        <w:rPr>
          <w:rFonts w:ascii="Calibri" w:eastAsia="Times New Roman" w:hAnsi="Calibri" w:cs="Calibri"/>
          <w:color w:val="000000"/>
          <w:sz w:val="20"/>
          <w:szCs w:val="20"/>
        </w:rPr>
        <w:t xml:space="preserve"> C, </w:t>
      </w:r>
      <w:proofErr w:type="spellStart"/>
      <w:r w:rsidRPr="00AA5765">
        <w:rPr>
          <w:rFonts w:ascii="Calibri" w:eastAsia="Times New Roman" w:hAnsi="Calibri" w:cs="Calibri"/>
          <w:color w:val="000000"/>
          <w:sz w:val="20"/>
          <w:szCs w:val="20"/>
        </w:rPr>
        <w:t>Heink</w:t>
      </w:r>
      <w:proofErr w:type="spellEnd"/>
      <w:r w:rsidRPr="00AA5765">
        <w:rPr>
          <w:rFonts w:ascii="Calibri" w:eastAsia="Times New Roman" w:hAnsi="Calibri" w:cs="Calibri"/>
          <w:color w:val="000000"/>
          <w:sz w:val="20"/>
          <w:szCs w:val="20"/>
        </w:rPr>
        <w:t xml:space="preserve"> S, Korn T, et al. (2018). Interleukin-6: designing specific therapeutics for a complex cytokine. </w:t>
      </w:r>
      <w:r w:rsidRPr="00AA5765">
        <w:rPr>
          <w:rFonts w:ascii="Calibri" w:eastAsia="Times New Roman" w:hAnsi="Calibri" w:cs="Calibri"/>
          <w:i/>
          <w:iCs/>
          <w:color w:val="000000"/>
          <w:sz w:val="20"/>
          <w:szCs w:val="20"/>
        </w:rPr>
        <w:t xml:space="preserve">Nat Rev Drug </w:t>
      </w:r>
      <w:proofErr w:type="spellStart"/>
      <w:r w:rsidRPr="00AA5765">
        <w:rPr>
          <w:rFonts w:ascii="Calibri" w:eastAsia="Times New Roman" w:hAnsi="Calibri" w:cs="Calibri"/>
          <w:i/>
          <w:iCs/>
          <w:color w:val="000000"/>
          <w:sz w:val="20"/>
          <w:szCs w:val="20"/>
        </w:rPr>
        <w:t>Discov</w:t>
      </w:r>
      <w:proofErr w:type="spellEnd"/>
      <w:r w:rsidRPr="00AA5765">
        <w:rPr>
          <w:rFonts w:ascii="Calibri" w:eastAsia="Times New Roman" w:hAnsi="Calibri" w:cs="Calibri"/>
          <w:i/>
          <w:iCs/>
          <w:color w:val="000000"/>
          <w:sz w:val="20"/>
          <w:szCs w:val="20"/>
        </w:rPr>
        <w:t xml:space="preserve">. </w:t>
      </w:r>
      <w:r w:rsidRPr="00AA5765">
        <w:rPr>
          <w:rFonts w:ascii="Calibri" w:eastAsia="Times New Roman" w:hAnsi="Calibri" w:cs="Calibri"/>
          <w:color w:val="000000"/>
          <w:sz w:val="20"/>
          <w:szCs w:val="20"/>
        </w:rPr>
        <w:t>17(6):395-412.</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14. </w:t>
      </w:r>
      <w:r w:rsidRPr="00AA5765">
        <w:rPr>
          <w:rFonts w:ascii="Times New Roman" w:eastAsia="Times New Roman" w:hAnsi="Times New Roman" w:cs="Times New Roman"/>
          <w:color w:val="000000"/>
          <w:sz w:val="20"/>
          <w:szCs w:val="20"/>
        </w:rPr>
        <w:t>L</w:t>
      </w:r>
      <w:r w:rsidRPr="00AA5765">
        <w:rPr>
          <w:rFonts w:ascii="Calibri" w:eastAsia="Times New Roman" w:hAnsi="Calibri" w:cs="Calibri"/>
          <w:color w:val="000000"/>
          <w:sz w:val="20"/>
          <w:szCs w:val="20"/>
        </w:rPr>
        <w:t xml:space="preserve">ouden, B. A., et al. (2004). "A Simplified Psoriasis Area Severity Index (SPASI) for rating psoriasis severity in clinic patients." </w:t>
      </w:r>
      <w:r w:rsidRPr="00AA5765">
        <w:rPr>
          <w:rFonts w:ascii="Calibri" w:eastAsia="Times New Roman" w:hAnsi="Calibri" w:cs="Calibri"/>
          <w:i/>
          <w:iCs/>
          <w:color w:val="000000"/>
          <w:sz w:val="20"/>
          <w:szCs w:val="20"/>
        </w:rPr>
        <w:t xml:space="preserve">Dermatol Online J., </w:t>
      </w:r>
      <w:r w:rsidRPr="00AA5765">
        <w:rPr>
          <w:rFonts w:ascii="Calibri" w:eastAsia="Times New Roman" w:hAnsi="Calibri" w:cs="Calibri"/>
          <w:color w:val="000000"/>
          <w:sz w:val="20"/>
          <w:szCs w:val="20"/>
        </w:rPr>
        <w:t>10(2).</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15. Das D, Akhtar S, </w:t>
      </w:r>
      <w:proofErr w:type="spellStart"/>
      <w:r w:rsidRPr="00AA5765">
        <w:rPr>
          <w:rFonts w:ascii="Calibri" w:eastAsia="Times New Roman" w:hAnsi="Calibri" w:cs="Calibri"/>
          <w:color w:val="000000"/>
          <w:sz w:val="20"/>
          <w:szCs w:val="20"/>
        </w:rPr>
        <w:t>Kurra</w:t>
      </w:r>
      <w:proofErr w:type="spellEnd"/>
      <w:r w:rsidRPr="00AA5765">
        <w:rPr>
          <w:rFonts w:ascii="Calibri" w:eastAsia="Times New Roman" w:hAnsi="Calibri" w:cs="Calibri"/>
          <w:color w:val="000000"/>
          <w:sz w:val="20"/>
          <w:szCs w:val="20"/>
        </w:rPr>
        <w:t xml:space="preserve"> S, et al (2019). Emerging role of immune cell network in autoimmune skin disorders: </w:t>
      </w:r>
      <w:r w:rsidRPr="00AA5765">
        <w:rPr>
          <w:rFonts w:ascii="Calibri" w:eastAsia="Times New Roman" w:hAnsi="Calibri" w:cs="Calibri"/>
          <w:i/>
          <w:iCs/>
          <w:color w:val="000000"/>
          <w:sz w:val="20"/>
          <w:szCs w:val="20"/>
        </w:rPr>
        <w:t>an update on pemphigus, Reviews GF</w:t>
      </w:r>
      <w:r w:rsidRPr="00AA5765">
        <w:rPr>
          <w:rFonts w:ascii="Calibri" w:eastAsia="Times New Roman" w:hAnsi="Calibri" w:cs="Calibri"/>
          <w:color w:val="000000"/>
          <w:sz w:val="20"/>
          <w:szCs w:val="20"/>
        </w:rPr>
        <w:t xml:space="preserve">. </w:t>
      </w:r>
      <w:r w:rsidRPr="00AA5765">
        <w:rPr>
          <w:rFonts w:ascii="Calibri" w:eastAsia="Times New Roman" w:hAnsi="Calibri" w:cs="Calibri"/>
          <w:i/>
          <w:iCs/>
          <w:color w:val="000000"/>
          <w:sz w:val="20"/>
          <w:szCs w:val="20"/>
        </w:rPr>
        <w:t>Vitiligo &amp; Psoriasis</w:t>
      </w:r>
      <w:r w:rsidRPr="00AA5765">
        <w:rPr>
          <w:rFonts w:ascii="Calibri" w:eastAsia="Times New Roman" w:hAnsi="Calibri" w:cs="Calibri"/>
          <w:color w:val="000000"/>
          <w:sz w:val="20"/>
          <w:szCs w:val="20"/>
        </w:rPr>
        <w:t>; 45:35-44.</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16. Gong H, Ma S, Chen J, et al. (2022). Dendritic </w:t>
      </w:r>
      <w:proofErr w:type="spellStart"/>
      <w:r w:rsidRPr="00AA5765">
        <w:rPr>
          <w:rFonts w:ascii="Calibri" w:eastAsia="Times New Roman" w:hAnsi="Calibri" w:cs="Calibri"/>
          <w:color w:val="000000"/>
          <w:sz w:val="20"/>
          <w:szCs w:val="20"/>
        </w:rPr>
        <w:t>cellderived</w:t>
      </w:r>
      <w:proofErr w:type="spellEnd"/>
      <w:r w:rsidRPr="00AA5765">
        <w:rPr>
          <w:rFonts w:ascii="Calibri" w:eastAsia="Times New Roman" w:hAnsi="Calibri" w:cs="Calibri"/>
          <w:color w:val="000000"/>
          <w:sz w:val="20"/>
          <w:szCs w:val="20"/>
        </w:rPr>
        <w:t xml:space="preserve"> IL-27 p28 regulates T cell program in pathogenicity and alleviates acute graft-</w:t>
      </w:r>
      <w:proofErr w:type="spellStart"/>
      <w:r w:rsidRPr="00AA5765">
        <w:rPr>
          <w:rFonts w:ascii="Calibri" w:eastAsia="Times New Roman" w:hAnsi="Calibri" w:cs="Calibri"/>
          <w:color w:val="000000"/>
          <w:sz w:val="20"/>
          <w:szCs w:val="20"/>
        </w:rPr>
        <w:t>versushost</w:t>
      </w:r>
      <w:proofErr w:type="spellEnd"/>
      <w:r w:rsidRPr="00AA5765">
        <w:rPr>
          <w:rFonts w:ascii="Calibri" w:eastAsia="Times New Roman" w:hAnsi="Calibri" w:cs="Calibri"/>
          <w:color w:val="000000"/>
          <w:sz w:val="20"/>
          <w:szCs w:val="20"/>
        </w:rPr>
        <w:t xml:space="preserve"> disease. </w:t>
      </w:r>
      <w:r w:rsidRPr="00AA5765">
        <w:rPr>
          <w:rFonts w:ascii="Calibri" w:eastAsia="Times New Roman" w:hAnsi="Calibri" w:cs="Calibri"/>
          <w:i/>
          <w:iCs/>
          <w:color w:val="000000"/>
          <w:sz w:val="20"/>
          <w:szCs w:val="20"/>
        </w:rPr>
        <w:t xml:space="preserve">Signal </w:t>
      </w:r>
      <w:proofErr w:type="spellStart"/>
      <w:r w:rsidRPr="00AA5765">
        <w:rPr>
          <w:rFonts w:ascii="Calibri" w:eastAsia="Times New Roman" w:hAnsi="Calibri" w:cs="Calibri"/>
          <w:i/>
          <w:iCs/>
          <w:color w:val="000000"/>
          <w:sz w:val="20"/>
          <w:szCs w:val="20"/>
        </w:rPr>
        <w:t>Transduct</w:t>
      </w:r>
      <w:proofErr w:type="spellEnd"/>
      <w:r w:rsidRPr="00AA5765">
        <w:rPr>
          <w:rFonts w:ascii="Calibri" w:eastAsia="Times New Roman" w:hAnsi="Calibri" w:cs="Calibri"/>
          <w:i/>
          <w:iCs/>
          <w:color w:val="000000"/>
          <w:sz w:val="20"/>
          <w:szCs w:val="20"/>
        </w:rPr>
        <w:t xml:space="preserve"> Target </w:t>
      </w:r>
      <w:proofErr w:type="spellStart"/>
      <w:r w:rsidRPr="00AA5765">
        <w:rPr>
          <w:rFonts w:ascii="Calibri" w:eastAsia="Times New Roman" w:hAnsi="Calibri" w:cs="Calibri"/>
          <w:i/>
          <w:iCs/>
          <w:color w:val="000000"/>
          <w:sz w:val="20"/>
          <w:szCs w:val="20"/>
        </w:rPr>
        <w:t>Ther</w:t>
      </w:r>
      <w:proofErr w:type="spellEnd"/>
      <w:r w:rsidRPr="00AA5765">
        <w:rPr>
          <w:rFonts w:ascii="Calibri" w:eastAsia="Times New Roman" w:hAnsi="Calibri" w:cs="Calibri"/>
          <w:i/>
          <w:iCs/>
          <w:color w:val="000000"/>
          <w:sz w:val="20"/>
          <w:szCs w:val="20"/>
        </w:rPr>
        <w:t xml:space="preserve">; </w:t>
      </w:r>
      <w:r w:rsidRPr="00AA5765">
        <w:rPr>
          <w:rFonts w:ascii="Calibri" w:eastAsia="Times New Roman" w:hAnsi="Calibri" w:cs="Calibri"/>
          <w:color w:val="000000"/>
          <w:sz w:val="20"/>
          <w:szCs w:val="20"/>
        </w:rPr>
        <w:t>7(1):319.</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lastRenderedPageBreak/>
        <w:t xml:space="preserve">17. Omar NS, Long X, Xian J, et al. (2021). Serum interleukin-30 level in patients with psoriasis and its correlation with psoriasis severity: a </w:t>
      </w:r>
      <w:proofErr w:type="spellStart"/>
      <w:r w:rsidRPr="00AA5765">
        <w:rPr>
          <w:rFonts w:ascii="Calibri" w:eastAsia="Times New Roman" w:hAnsi="Calibri" w:cs="Calibri"/>
          <w:color w:val="000000"/>
          <w:sz w:val="20"/>
          <w:szCs w:val="20"/>
        </w:rPr>
        <w:t>casecontrol</w:t>
      </w:r>
      <w:proofErr w:type="spellEnd"/>
      <w:r w:rsidRPr="00AA5765">
        <w:rPr>
          <w:rFonts w:ascii="Calibri" w:eastAsia="Times New Roman" w:hAnsi="Calibri" w:cs="Calibri"/>
          <w:color w:val="000000"/>
          <w:sz w:val="20"/>
          <w:szCs w:val="20"/>
        </w:rPr>
        <w:t xml:space="preserve"> study. </w:t>
      </w:r>
      <w:r w:rsidRPr="00AA5765">
        <w:rPr>
          <w:rFonts w:ascii="Calibri" w:eastAsia="Times New Roman" w:hAnsi="Calibri" w:cs="Calibri"/>
          <w:i/>
          <w:iCs/>
          <w:color w:val="000000"/>
          <w:sz w:val="20"/>
          <w:szCs w:val="20"/>
        </w:rPr>
        <w:t>J Int Med Res</w:t>
      </w:r>
      <w:r w:rsidRPr="00AA5765">
        <w:rPr>
          <w:rFonts w:ascii="Calibri" w:eastAsia="Times New Roman" w:hAnsi="Calibri" w:cs="Calibri"/>
          <w:color w:val="000000"/>
          <w:sz w:val="20"/>
          <w:szCs w:val="20"/>
        </w:rPr>
        <w:t>; 49(4): 03000605211004039.</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18. Liu X, Hu Z, Zhang J, et al. (2021). IL-30 ameliorates imiquimod and K14-VEGF induced psoriasis-like disease by inhibiting both innate and adaptive immunity disorders. </w:t>
      </w:r>
      <w:r w:rsidRPr="00AA5765">
        <w:rPr>
          <w:rFonts w:ascii="Calibri" w:eastAsia="Times New Roman" w:hAnsi="Calibri" w:cs="Calibri"/>
          <w:i/>
          <w:iCs/>
          <w:color w:val="000000"/>
          <w:sz w:val="20"/>
          <w:szCs w:val="20"/>
        </w:rPr>
        <w:t>Biochemical and Biophysical Research Communications</w:t>
      </w:r>
      <w:r w:rsidRPr="00AA5765">
        <w:rPr>
          <w:rFonts w:ascii="Calibri" w:eastAsia="Times New Roman" w:hAnsi="Calibri" w:cs="Calibri"/>
          <w:color w:val="000000"/>
          <w:sz w:val="20"/>
          <w:szCs w:val="20"/>
        </w:rPr>
        <w:t>. 579:97-104.</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19. </w:t>
      </w:r>
      <w:proofErr w:type="spellStart"/>
      <w:r w:rsidRPr="00AA5765">
        <w:rPr>
          <w:rFonts w:ascii="Calibri" w:eastAsia="Times New Roman" w:hAnsi="Calibri" w:cs="Calibri"/>
          <w:color w:val="000000"/>
          <w:sz w:val="20"/>
          <w:szCs w:val="20"/>
        </w:rPr>
        <w:t>Crabé</w:t>
      </w:r>
      <w:proofErr w:type="spellEnd"/>
      <w:r w:rsidRPr="00AA5765">
        <w:rPr>
          <w:rFonts w:ascii="Calibri" w:eastAsia="Times New Roman" w:hAnsi="Calibri" w:cs="Calibri"/>
          <w:color w:val="000000"/>
          <w:sz w:val="20"/>
          <w:szCs w:val="20"/>
        </w:rPr>
        <w:t xml:space="preserve"> S, </w:t>
      </w:r>
      <w:proofErr w:type="spellStart"/>
      <w:r w:rsidRPr="00AA5765">
        <w:rPr>
          <w:rFonts w:ascii="Calibri" w:eastAsia="Times New Roman" w:hAnsi="Calibri" w:cs="Calibri"/>
          <w:color w:val="000000"/>
          <w:sz w:val="20"/>
          <w:szCs w:val="20"/>
        </w:rPr>
        <w:t>Guay</w:t>
      </w:r>
      <w:proofErr w:type="spellEnd"/>
      <w:r w:rsidRPr="00AA5765">
        <w:rPr>
          <w:rFonts w:ascii="Calibri" w:eastAsia="Times New Roman" w:hAnsi="Calibri" w:cs="Calibri"/>
          <w:color w:val="000000"/>
          <w:sz w:val="20"/>
          <w:szCs w:val="20"/>
        </w:rPr>
        <w:t xml:space="preserve">-Giroux A, </w:t>
      </w:r>
      <w:proofErr w:type="spellStart"/>
      <w:r w:rsidRPr="00AA5765">
        <w:rPr>
          <w:rFonts w:ascii="Calibri" w:eastAsia="Times New Roman" w:hAnsi="Calibri" w:cs="Calibri"/>
          <w:color w:val="000000"/>
          <w:sz w:val="20"/>
          <w:szCs w:val="20"/>
        </w:rPr>
        <w:t>Tormo</w:t>
      </w:r>
      <w:proofErr w:type="spellEnd"/>
      <w:r w:rsidRPr="00AA5765">
        <w:rPr>
          <w:rFonts w:ascii="Calibri" w:eastAsia="Times New Roman" w:hAnsi="Calibri" w:cs="Calibri"/>
          <w:color w:val="000000"/>
          <w:sz w:val="20"/>
          <w:szCs w:val="20"/>
        </w:rPr>
        <w:t xml:space="preserve"> AJ, et al. (2009). The IL-27 p28 subunit binds cytokine-like factor 1 to form a cytokine regulating NK and T cell activities requiring IL-6R for signaling. </w:t>
      </w:r>
      <w:r w:rsidRPr="00AA5765">
        <w:rPr>
          <w:rFonts w:ascii="Calibri" w:eastAsia="Times New Roman" w:hAnsi="Calibri" w:cs="Calibri"/>
          <w:i/>
          <w:iCs/>
          <w:color w:val="000000"/>
          <w:sz w:val="20"/>
          <w:szCs w:val="20"/>
        </w:rPr>
        <w:t>J Immunol</w:t>
      </w:r>
      <w:r w:rsidRPr="00AA5765">
        <w:rPr>
          <w:rFonts w:ascii="Calibri" w:eastAsia="Times New Roman" w:hAnsi="Calibri" w:cs="Calibri"/>
          <w:color w:val="000000"/>
          <w:sz w:val="20"/>
          <w:szCs w:val="20"/>
        </w:rPr>
        <w:t>; 183(12):7692-702.</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20. </w:t>
      </w:r>
      <w:proofErr w:type="spellStart"/>
      <w:r w:rsidRPr="00AA5765">
        <w:rPr>
          <w:rFonts w:ascii="Calibri" w:eastAsia="Times New Roman" w:hAnsi="Calibri" w:cs="Calibri"/>
          <w:color w:val="000000"/>
          <w:sz w:val="20"/>
          <w:szCs w:val="20"/>
        </w:rPr>
        <w:t>Tormo</w:t>
      </w:r>
      <w:proofErr w:type="spellEnd"/>
      <w:r w:rsidRPr="00AA5765">
        <w:rPr>
          <w:rFonts w:ascii="Calibri" w:eastAsia="Times New Roman" w:hAnsi="Calibri" w:cs="Calibri"/>
          <w:color w:val="000000"/>
          <w:sz w:val="20"/>
          <w:szCs w:val="20"/>
        </w:rPr>
        <w:t xml:space="preserve"> AJ, </w:t>
      </w:r>
      <w:proofErr w:type="spellStart"/>
      <w:r w:rsidRPr="00AA5765">
        <w:rPr>
          <w:rFonts w:ascii="Calibri" w:eastAsia="Times New Roman" w:hAnsi="Calibri" w:cs="Calibri"/>
          <w:color w:val="000000"/>
          <w:sz w:val="20"/>
          <w:szCs w:val="20"/>
        </w:rPr>
        <w:t>Meliani</w:t>
      </w:r>
      <w:proofErr w:type="spellEnd"/>
      <w:r w:rsidRPr="00AA5765">
        <w:rPr>
          <w:rFonts w:ascii="Calibri" w:eastAsia="Times New Roman" w:hAnsi="Calibri" w:cs="Calibri"/>
          <w:color w:val="000000"/>
          <w:sz w:val="20"/>
          <w:szCs w:val="20"/>
        </w:rPr>
        <w:t xml:space="preserve"> Y, </w:t>
      </w:r>
      <w:proofErr w:type="spellStart"/>
      <w:r w:rsidRPr="00AA5765">
        <w:rPr>
          <w:rFonts w:ascii="Calibri" w:eastAsia="Times New Roman" w:hAnsi="Calibri" w:cs="Calibri"/>
          <w:color w:val="000000"/>
          <w:sz w:val="20"/>
          <w:szCs w:val="20"/>
        </w:rPr>
        <w:t>Beaupré</w:t>
      </w:r>
      <w:proofErr w:type="spellEnd"/>
      <w:r w:rsidRPr="00AA5765">
        <w:rPr>
          <w:rFonts w:ascii="Calibri" w:eastAsia="Times New Roman" w:hAnsi="Calibri" w:cs="Calibri"/>
          <w:color w:val="000000"/>
          <w:sz w:val="20"/>
          <w:szCs w:val="20"/>
        </w:rPr>
        <w:t xml:space="preserve"> LA, et al. (2013). The composite cytokine p28/cytokine-like factor 1 sustains B cell proliferation and promotes plasma cell differentiation. </w:t>
      </w:r>
      <w:r w:rsidRPr="00AA5765">
        <w:rPr>
          <w:rFonts w:ascii="Calibri" w:eastAsia="Times New Roman" w:hAnsi="Calibri" w:cs="Calibri"/>
          <w:i/>
          <w:iCs/>
          <w:color w:val="000000"/>
          <w:sz w:val="20"/>
          <w:szCs w:val="20"/>
        </w:rPr>
        <w:t>J Immunol</w:t>
      </w:r>
      <w:r w:rsidRPr="00AA5765">
        <w:rPr>
          <w:rFonts w:ascii="Calibri" w:eastAsia="Times New Roman" w:hAnsi="Calibri" w:cs="Calibri"/>
          <w:color w:val="000000"/>
          <w:sz w:val="20"/>
          <w:szCs w:val="20"/>
        </w:rPr>
        <w:t>; 191(4):1657-65.</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21. </w:t>
      </w:r>
      <w:proofErr w:type="spellStart"/>
      <w:r w:rsidRPr="00AA5765">
        <w:rPr>
          <w:rFonts w:ascii="Calibri" w:eastAsia="Times New Roman" w:hAnsi="Calibri" w:cs="Calibri"/>
          <w:color w:val="000000"/>
          <w:sz w:val="20"/>
          <w:szCs w:val="20"/>
        </w:rPr>
        <w:t>Pflanz</w:t>
      </w:r>
      <w:proofErr w:type="spellEnd"/>
      <w:r w:rsidRPr="00AA5765">
        <w:rPr>
          <w:rFonts w:ascii="Calibri" w:eastAsia="Times New Roman" w:hAnsi="Calibri" w:cs="Calibri"/>
          <w:color w:val="000000"/>
          <w:sz w:val="20"/>
          <w:szCs w:val="20"/>
        </w:rPr>
        <w:t xml:space="preserve"> S, </w:t>
      </w:r>
      <w:proofErr w:type="spellStart"/>
      <w:r w:rsidRPr="00AA5765">
        <w:rPr>
          <w:rFonts w:ascii="Calibri" w:eastAsia="Times New Roman" w:hAnsi="Calibri" w:cs="Calibri"/>
          <w:color w:val="000000"/>
          <w:sz w:val="20"/>
          <w:szCs w:val="20"/>
        </w:rPr>
        <w:t>Timans</w:t>
      </w:r>
      <w:proofErr w:type="spellEnd"/>
      <w:r w:rsidRPr="00AA5765">
        <w:rPr>
          <w:rFonts w:ascii="Calibri" w:eastAsia="Times New Roman" w:hAnsi="Calibri" w:cs="Calibri"/>
          <w:color w:val="000000"/>
          <w:sz w:val="20"/>
          <w:szCs w:val="20"/>
        </w:rPr>
        <w:t xml:space="preserve"> JC, Cheung J, et al. (2002). IL-27, a heterodimeric cytokine composed of EBI3 and p28 protein, induces proliferation of naive CD4+ T cells. </w:t>
      </w:r>
      <w:r w:rsidRPr="00AA5765">
        <w:rPr>
          <w:rFonts w:ascii="Calibri" w:eastAsia="Times New Roman" w:hAnsi="Calibri" w:cs="Calibri"/>
          <w:i/>
          <w:iCs/>
          <w:color w:val="000000"/>
          <w:sz w:val="20"/>
          <w:szCs w:val="20"/>
        </w:rPr>
        <w:t>J Immunol</w:t>
      </w:r>
      <w:r w:rsidRPr="00AA5765">
        <w:rPr>
          <w:rFonts w:ascii="Calibri" w:eastAsia="Times New Roman" w:hAnsi="Calibri" w:cs="Calibri"/>
          <w:color w:val="000000"/>
          <w:sz w:val="20"/>
          <w:szCs w:val="20"/>
        </w:rPr>
        <w:t>; 16(6):779-90.</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22. Min B, Kim D, </w:t>
      </w:r>
      <w:proofErr w:type="spellStart"/>
      <w:r w:rsidRPr="00AA5765">
        <w:rPr>
          <w:rFonts w:ascii="Calibri" w:eastAsia="Times New Roman" w:hAnsi="Calibri" w:cs="Calibri"/>
          <w:color w:val="000000"/>
          <w:sz w:val="20"/>
          <w:szCs w:val="20"/>
        </w:rPr>
        <w:t>Feige</w:t>
      </w:r>
      <w:proofErr w:type="spellEnd"/>
      <w:r w:rsidRPr="00AA5765">
        <w:rPr>
          <w:rFonts w:ascii="Calibri" w:eastAsia="Times New Roman" w:hAnsi="Calibri" w:cs="Calibri"/>
          <w:color w:val="000000"/>
          <w:sz w:val="20"/>
          <w:szCs w:val="20"/>
        </w:rPr>
        <w:t xml:space="preserve"> MJ. (2021). IL-30†(IL-27A): a familiar stranger in immunity, inflammation, and cancer. </w:t>
      </w:r>
      <w:r w:rsidRPr="00AA5765">
        <w:rPr>
          <w:rFonts w:ascii="Calibri" w:eastAsia="Times New Roman" w:hAnsi="Calibri" w:cs="Calibri"/>
          <w:i/>
          <w:iCs/>
          <w:color w:val="000000"/>
          <w:sz w:val="20"/>
          <w:szCs w:val="20"/>
        </w:rPr>
        <w:t xml:space="preserve">Exp Mol Med </w:t>
      </w:r>
      <w:r w:rsidRPr="00AA5765">
        <w:rPr>
          <w:rFonts w:ascii="Calibri" w:eastAsia="Times New Roman" w:hAnsi="Calibri" w:cs="Calibri"/>
          <w:color w:val="000000"/>
          <w:sz w:val="20"/>
          <w:szCs w:val="20"/>
        </w:rPr>
        <w:t>53(5):823-34.</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23. </w:t>
      </w:r>
      <w:proofErr w:type="spellStart"/>
      <w:r w:rsidRPr="00AA5765">
        <w:rPr>
          <w:rFonts w:ascii="Calibri" w:eastAsia="Times New Roman" w:hAnsi="Calibri" w:cs="Calibri"/>
          <w:color w:val="000000"/>
          <w:sz w:val="20"/>
          <w:szCs w:val="20"/>
        </w:rPr>
        <w:t>Blahoianu</w:t>
      </w:r>
      <w:proofErr w:type="spellEnd"/>
      <w:r w:rsidRPr="00AA5765">
        <w:rPr>
          <w:rFonts w:ascii="Calibri" w:eastAsia="Times New Roman" w:hAnsi="Calibri" w:cs="Calibri"/>
          <w:color w:val="000000"/>
          <w:sz w:val="20"/>
          <w:szCs w:val="20"/>
        </w:rPr>
        <w:t xml:space="preserve"> MA, Rahimi AA, Kozlowski M, et al. (2014). IFN-</w:t>
      </w:r>
      <w:r w:rsidRPr="00AA5765">
        <w:rPr>
          <w:rFonts w:ascii="Symbol" w:eastAsia="Times New Roman" w:hAnsi="Symbol" w:cs="Times New Roman"/>
          <w:color w:val="000000"/>
          <w:sz w:val="20"/>
          <w:szCs w:val="20"/>
        </w:rPr>
        <w:sym w:font="Symbol" w:char="F067"/>
      </w:r>
      <w:r w:rsidRPr="00AA5765">
        <w:rPr>
          <w:rFonts w:ascii="Calibri" w:eastAsia="Times New Roman" w:hAnsi="Calibri" w:cs="Calibri"/>
          <w:color w:val="000000"/>
          <w:sz w:val="20"/>
          <w:szCs w:val="20"/>
        </w:rPr>
        <w:t xml:space="preserve">-induced IL-27 and IL-27p28 expression are differentially regulated through JNK MAPK and PI3K pathways independent of </w:t>
      </w:r>
      <w:proofErr w:type="spellStart"/>
      <w:r w:rsidRPr="00AA5765">
        <w:rPr>
          <w:rFonts w:ascii="Calibri" w:eastAsia="Times New Roman" w:hAnsi="Calibri" w:cs="Calibri"/>
          <w:color w:val="000000"/>
          <w:sz w:val="20"/>
          <w:szCs w:val="20"/>
        </w:rPr>
        <w:t>Jak</w:t>
      </w:r>
      <w:proofErr w:type="spellEnd"/>
      <w:r w:rsidRPr="00AA5765">
        <w:rPr>
          <w:rFonts w:ascii="Calibri" w:eastAsia="Times New Roman" w:hAnsi="Calibri" w:cs="Calibri"/>
          <w:color w:val="000000"/>
          <w:sz w:val="20"/>
          <w:szCs w:val="20"/>
        </w:rPr>
        <w:t xml:space="preserve">/STAT in human monocytic cells. </w:t>
      </w:r>
      <w:r w:rsidRPr="00AA5765">
        <w:rPr>
          <w:rFonts w:ascii="Calibri" w:eastAsia="Times New Roman" w:hAnsi="Calibri" w:cs="Calibri"/>
          <w:i/>
          <w:iCs/>
          <w:color w:val="000000"/>
          <w:sz w:val="20"/>
          <w:szCs w:val="20"/>
        </w:rPr>
        <w:t>J Immunol</w:t>
      </w:r>
      <w:r w:rsidRPr="00AA5765">
        <w:rPr>
          <w:rFonts w:ascii="Calibri" w:eastAsia="Times New Roman" w:hAnsi="Calibri" w:cs="Calibri"/>
          <w:color w:val="000000"/>
          <w:sz w:val="20"/>
          <w:szCs w:val="20"/>
        </w:rPr>
        <w:t>; 219(1):1-8.</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24. Harden JL, Johnson-Huang LM, </w:t>
      </w:r>
      <w:proofErr w:type="spellStart"/>
      <w:r w:rsidRPr="00AA5765">
        <w:rPr>
          <w:rFonts w:ascii="Calibri" w:eastAsia="Times New Roman" w:hAnsi="Calibri" w:cs="Calibri"/>
          <w:color w:val="000000"/>
          <w:sz w:val="20"/>
          <w:szCs w:val="20"/>
        </w:rPr>
        <w:t>Chamian</w:t>
      </w:r>
      <w:proofErr w:type="spellEnd"/>
      <w:r w:rsidRPr="00AA5765">
        <w:rPr>
          <w:rFonts w:ascii="Calibri" w:eastAsia="Times New Roman" w:hAnsi="Calibri" w:cs="Calibri"/>
          <w:color w:val="000000"/>
          <w:sz w:val="20"/>
          <w:szCs w:val="20"/>
        </w:rPr>
        <w:t xml:space="preserve"> MF, et al. (2015). Humanized anti–IFN-γ (</w:t>
      </w:r>
      <w:proofErr w:type="spellStart"/>
      <w:r w:rsidRPr="00AA5765">
        <w:rPr>
          <w:rFonts w:ascii="Calibri" w:eastAsia="Times New Roman" w:hAnsi="Calibri" w:cs="Calibri"/>
          <w:color w:val="000000"/>
          <w:sz w:val="20"/>
          <w:szCs w:val="20"/>
        </w:rPr>
        <w:t>HuZAF</w:t>
      </w:r>
      <w:proofErr w:type="spellEnd"/>
      <w:r w:rsidRPr="00AA5765">
        <w:rPr>
          <w:rFonts w:ascii="Calibri" w:eastAsia="Times New Roman" w:hAnsi="Calibri" w:cs="Calibri"/>
          <w:color w:val="000000"/>
          <w:sz w:val="20"/>
          <w:szCs w:val="20"/>
        </w:rPr>
        <w:t xml:space="preserve">) in the treatment of psoriasis. </w:t>
      </w:r>
      <w:r w:rsidRPr="00AA5765">
        <w:rPr>
          <w:rFonts w:ascii="Calibri" w:eastAsia="Times New Roman" w:hAnsi="Calibri" w:cs="Calibri"/>
          <w:i/>
          <w:iCs/>
          <w:color w:val="000000"/>
          <w:sz w:val="20"/>
          <w:szCs w:val="20"/>
        </w:rPr>
        <w:t>J Allergy Clin Immunol</w:t>
      </w:r>
      <w:r w:rsidRPr="00AA5765">
        <w:rPr>
          <w:rFonts w:ascii="Calibri" w:eastAsia="Times New Roman" w:hAnsi="Calibri" w:cs="Calibri"/>
          <w:color w:val="000000"/>
          <w:sz w:val="20"/>
          <w:szCs w:val="20"/>
        </w:rPr>
        <w:t>; 135(2):553-6. e3.</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25. </w:t>
      </w:r>
      <w:proofErr w:type="spellStart"/>
      <w:r w:rsidRPr="00AA5765">
        <w:rPr>
          <w:rFonts w:ascii="Calibri" w:eastAsia="Times New Roman" w:hAnsi="Calibri" w:cs="Calibri"/>
          <w:color w:val="000000"/>
          <w:sz w:val="20"/>
          <w:szCs w:val="20"/>
        </w:rPr>
        <w:t>Leite</w:t>
      </w:r>
      <w:proofErr w:type="spellEnd"/>
      <w:r w:rsidRPr="00AA5765">
        <w:rPr>
          <w:rFonts w:ascii="Calibri" w:eastAsia="Times New Roman" w:hAnsi="Calibri" w:cs="Calibri"/>
          <w:color w:val="000000"/>
          <w:sz w:val="20"/>
          <w:szCs w:val="20"/>
        </w:rPr>
        <w:t xml:space="preserve"> </w:t>
      </w:r>
      <w:proofErr w:type="spellStart"/>
      <w:r w:rsidRPr="00AA5765">
        <w:rPr>
          <w:rFonts w:ascii="Calibri" w:eastAsia="Times New Roman" w:hAnsi="Calibri" w:cs="Calibri"/>
          <w:color w:val="000000"/>
          <w:sz w:val="20"/>
          <w:szCs w:val="20"/>
        </w:rPr>
        <w:t>Dantas</w:t>
      </w:r>
      <w:proofErr w:type="spellEnd"/>
      <w:r w:rsidRPr="00AA5765">
        <w:rPr>
          <w:rFonts w:ascii="Calibri" w:eastAsia="Times New Roman" w:hAnsi="Calibri" w:cs="Calibri"/>
          <w:color w:val="000000"/>
          <w:sz w:val="20"/>
          <w:szCs w:val="20"/>
        </w:rPr>
        <w:t xml:space="preserve"> R, </w:t>
      </w:r>
      <w:proofErr w:type="spellStart"/>
      <w:r w:rsidRPr="00AA5765">
        <w:rPr>
          <w:rFonts w:ascii="Calibri" w:eastAsia="Times New Roman" w:hAnsi="Calibri" w:cs="Calibri"/>
          <w:color w:val="000000"/>
          <w:sz w:val="20"/>
          <w:szCs w:val="20"/>
        </w:rPr>
        <w:t>Masemann</w:t>
      </w:r>
      <w:proofErr w:type="spellEnd"/>
      <w:r w:rsidRPr="00AA5765">
        <w:rPr>
          <w:rFonts w:ascii="Calibri" w:eastAsia="Times New Roman" w:hAnsi="Calibri" w:cs="Calibri"/>
          <w:color w:val="000000"/>
          <w:sz w:val="20"/>
          <w:szCs w:val="20"/>
        </w:rPr>
        <w:t xml:space="preserve"> D, </w:t>
      </w:r>
      <w:proofErr w:type="spellStart"/>
      <w:r w:rsidRPr="00AA5765">
        <w:rPr>
          <w:rFonts w:ascii="Calibri" w:eastAsia="Times New Roman" w:hAnsi="Calibri" w:cs="Calibri"/>
          <w:color w:val="000000"/>
          <w:sz w:val="20"/>
          <w:szCs w:val="20"/>
        </w:rPr>
        <w:t>Schied</w:t>
      </w:r>
      <w:proofErr w:type="spellEnd"/>
      <w:r w:rsidRPr="00AA5765">
        <w:rPr>
          <w:rFonts w:ascii="Calibri" w:eastAsia="Times New Roman" w:hAnsi="Calibri" w:cs="Calibri"/>
          <w:color w:val="000000"/>
          <w:sz w:val="20"/>
          <w:szCs w:val="20"/>
        </w:rPr>
        <w:t xml:space="preserve"> T, et al. (2016). Macrophage‐mediated psoriasis can be suppressed by regulatory T lymphocytes. </w:t>
      </w:r>
      <w:r w:rsidRPr="00AA5765">
        <w:rPr>
          <w:rFonts w:ascii="Calibri" w:eastAsia="Times New Roman" w:hAnsi="Calibri" w:cs="Calibri"/>
          <w:i/>
          <w:iCs/>
          <w:color w:val="000000"/>
          <w:sz w:val="20"/>
          <w:szCs w:val="20"/>
        </w:rPr>
        <w:t xml:space="preserve">J </w:t>
      </w:r>
      <w:proofErr w:type="spellStart"/>
      <w:r w:rsidRPr="00AA5765">
        <w:rPr>
          <w:rFonts w:ascii="Calibri" w:eastAsia="Times New Roman" w:hAnsi="Calibri" w:cs="Calibri"/>
          <w:i/>
          <w:iCs/>
          <w:color w:val="000000"/>
          <w:sz w:val="20"/>
          <w:szCs w:val="20"/>
        </w:rPr>
        <w:t>Pathol</w:t>
      </w:r>
      <w:proofErr w:type="spellEnd"/>
      <w:r w:rsidRPr="00AA5765">
        <w:rPr>
          <w:rFonts w:ascii="Calibri" w:eastAsia="Times New Roman" w:hAnsi="Calibri" w:cs="Calibri"/>
          <w:color w:val="000000"/>
          <w:sz w:val="20"/>
          <w:szCs w:val="20"/>
        </w:rPr>
        <w:t>; 240(3):366-77</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26. Xu H, Liu J, </w:t>
      </w:r>
      <w:proofErr w:type="spellStart"/>
      <w:r w:rsidRPr="00AA5765">
        <w:rPr>
          <w:rFonts w:ascii="Calibri" w:eastAsia="Times New Roman" w:hAnsi="Calibri" w:cs="Calibri"/>
          <w:color w:val="000000"/>
          <w:sz w:val="20"/>
          <w:szCs w:val="20"/>
        </w:rPr>
        <w:t>Niu</w:t>
      </w:r>
      <w:proofErr w:type="spellEnd"/>
      <w:r w:rsidRPr="00AA5765">
        <w:rPr>
          <w:rFonts w:ascii="Calibri" w:eastAsia="Times New Roman" w:hAnsi="Calibri" w:cs="Calibri"/>
          <w:color w:val="000000"/>
          <w:sz w:val="20"/>
          <w:szCs w:val="20"/>
        </w:rPr>
        <w:t xml:space="preserve"> M, et al. (2021). Soluble IL-6Rmediated IL-6 trans-signaling activation contributes to the pathological development of psoriasis. </w:t>
      </w:r>
      <w:r w:rsidRPr="00AA5765">
        <w:rPr>
          <w:rFonts w:ascii="Calibri" w:eastAsia="Times New Roman" w:hAnsi="Calibri" w:cs="Calibri"/>
          <w:i/>
          <w:iCs/>
          <w:color w:val="000000"/>
          <w:sz w:val="20"/>
          <w:szCs w:val="20"/>
        </w:rPr>
        <w:t>J Mol Med (</w:t>
      </w:r>
      <w:proofErr w:type="spellStart"/>
      <w:r w:rsidRPr="00AA5765">
        <w:rPr>
          <w:rFonts w:ascii="Calibri" w:eastAsia="Times New Roman" w:hAnsi="Calibri" w:cs="Calibri"/>
          <w:i/>
          <w:iCs/>
          <w:color w:val="000000"/>
          <w:sz w:val="20"/>
          <w:szCs w:val="20"/>
        </w:rPr>
        <w:t>Berl</w:t>
      </w:r>
      <w:proofErr w:type="spellEnd"/>
      <w:r w:rsidRPr="00AA5765">
        <w:rPr>
          <w:rFonts w:ascii="Calibri" w:eastAsia="Times New Roman" w:hAnsi="Calibri" w:cs="Calibri"/>
          <w:i/>
          <w:iCs/>
          <w:color w:val="000000"/>
          <w:sz w:val="20"/>
          <w:szCs w:val="20"/>
        </w:rPr>
        <w:t>)</w:t>
      </w:r>
      <w:r w:rsidRPr="00AA5765">
        <w:rPr>
          <w:rFonts w:ascii="Calibri" w:eastAsia="Times New Roman" w:hAnsi="Calibri" w:cs="Calibri"/>
          <w:color w:val="000000"/>
          <w:sz w:val="20"/>
          <w:szCs w:val="20"/>
        </w:rPr>
        <w:t>; 99(7):1009-20.</w:t>
      </w:r>
    </w:p>
    <w:p w:rsidR="00AA5765" w:rsidRPr="00AA5765" w:rsidRDefault="00AA5765" w:rsidP="00AA5765">
      <w:pPr>
        <w:spacing w:after="0" w:line="240" w:lineRule="auto"/>
        <w:rPr>
          <w:rFonts w:ascii="Calibri" w:eastAsia="Times New Roman" w:hAnsi="Calibri" w:cs="Calibri"/>
          <w:color w:val="000000"/>
          <w:sz w:val="20"/>
          <w:szCs w:val="20"/>
        </w:rPr>
      </w:pPr>
      <w:r w:rsidRPr="00AA5765">
        <w:rPr>
          <w:rFonts w:ascii="Calibri" w:eastAsia="Times New Roman" w:hAnsi="Calibri" w:cs="Calibri"/>
          <w:color w:val="000000"/>
          <w:sz w:val="20"/>
          <w:szCs w:val="20"/>
        </w:rPr>
        <w:t xml:space="preserve">27. </w:t>
      </w:r>
      <w:proofErr w:type="spellStart"/>
      <w:r w:rsidRPr="00AA5765">
        <w:rPr>
          <w:rFonts w:ascii="Calibri" w:eastAsia="Times New Roman" w:hAnsi="Calibri" w:cs="Calibri"/>
          <w:color w:val="000000"/>
          <w:sz w:val="20"/>
          <w:szCs w:val="20"/>
        </w:rPr>
        <w:t>Mitsis</w:t>
      </w:r>
      <w:proofErr w:type="spellEnd"/>
      <w:r w:rsidRPr="00AA5765">
        <w:rPr>
          <w:rFonts w:ascii="Calibri" w:eastAsia="Times New Roman" w:hAnsi="Calibri" w:cs="Calibri"/>
          <w:color w:val="000000"/>
          <w:sz w:val="20"/>
          <w:szCs w:val="20"/>
        </w:rPr>
        <w:t xml:space="preserve"> A, </w:t>
      </w:r>
      <w:proofErr w:type="spellStart"/>
      <w:r w:rsidRPr="00AA5765">
        <w:rPr>
          <w:rFonts w:ascii="Calibri" w:eastAsia="Times New Roman" w:hAnsi="Calibri" w:cs="Calibri"/>
          <w:color w:val="000000"/>
          <w:sz w:val="20"/>
          <w:szCs w:val="20"/>
        </w:rPr>
        <w:t>Kadoglou</w:t>
      </w:r>
      <w:proofErr w:type="spellEnd"/>
      <w:r w:rsidRPr="00AA5765">
        <w:rPr>
          <w:rFonts w:ascii="Calibri" w:eastAsia="Times New Roman" w:hAnsi="Calibri" w:cs="Calibri"/>
          <w:color w:val="000000"/>
          <w:sz w:val="20"/>
          <w:szCs w:val="20"/>
        </w:rPr>
        <w:t xml:space="preserve"> NP, </w:t>
      </w:r>
      <w:proofErr w:type="spellStart"/>
      <w:r w:rsidRPr="00AA5765">
        <w:rPr>
          <w:rFonts w:ascii="Calibri" w:eastAsia="Times New Roman" w:hAnsi="Calibri" w:cs="Calibri"/>
          <w:color w:val="000000"/>
          <w:sz w:val="20"/>
          <w:szCs w:val="20"/>
        </w:rPr>
        <w:t>Lambadiari</w:t>
      </w:r>
      <w:proofErr w:type="spellEnd"/>
      <w:r w:rsidRPr="00AA5765">
        <w:rPr>
          <w:rFonts w:ascii="Calibri" w:eastAsia="Times New Roman" w:hAnsi="Calibri" w:cs="Calibri"/>
          <w:color w:val="000000"/>
          <w:sz w:val="20"/>
          <w:szCs w:val="20"/>
        </w:rPr>
        <w:t xml:space="preserve"> V, et al. (2022). Prognostic role of inflammatory cytokines and novel adipokines in acute myocardial infarction: An updated and comprehensive review. </w:t>
      </w:r>
      <w:r w:rsidRPr="00AA5765">
        <w:rPr>
          <w:rFonts w:ascii="Calibri" w:eastAsia="Times New Roman" w:hAnsi="Calibri" w:cs="Calibri"/>
          <w:i/>
          <w:iCs/>
          <w:color w:val="000000"/>
          <w:sz w:val="20"/>
          <w:szCs w:val="20"/>
        </w:rPr>
        <w:t>Cytokine</w:t>
      </w:r>
      <w:r w:rsidRPr="00AA5765">
        <w:rPr>
          <w:rFonts w:ascii="Calibri" w:eastAsia="Times New Roman" w:hAnsi="Calibri" w:cs="Calibri"/>
          <w:color w:val="000000"/>
          <w:sz w:val="20"/>
          <w:szCs w:val="20"/>
        </w:rPr>
        <w:t>.; 153:155848.</w:t>
      </w:r>
    </w:p>
    <w:p w:rsidR="00C91F96" w:rsidRDefault="00AA5765" w:rsidP="00AA5765">
      <w:r w:rsidRPr="00AA5765">
        <w:rPr>
          <w:rFonts w:ascii="Calibri" w:eastAsia="Times New Roman" w:hAnsi="Calibri" w:cs="Calibri"/>
          <w:color w:val="000000"/>
        </w:rPr>
        <w:t>28.</w:t>
      </w:r>
      <w:r w:rsidRPr="00AA5765">
        <w:rPr>
          <w:rFonts w:ascii="Calibri" w:eastAsia="Times New Roman" w:hAnsi="Calibri" w:cs="Calibri"/>
          <w:color w:val="000000"/>
          <w:sz w:val="20"/>
          <w:szCs w:val="20"/>
        </w:rPr>
        <w:t>Davies R, Williams J, Sime K, et al. (2021). The role of interleukin-6 trans-</w:t>
      </w:r>
      <w:proofErr w:type="spellStart"/>
      <w:r w:rsidRPr="00AA5765">
        <w:rPr>
          <w:rFonts w:ascii="Calibri" w:eastAsia="Times New Roman" w:hAnsi="Calibri" w:cs="Calibri"/>
          <w:color w:val="000000"/>
          <w:sz w:val="20"/>
          <w:szCs w:val="20"/>
        </w:rPr>
        <w:t>signalling</w:t>
      </w:r>
      <w:proofErr w:type="spellEnd"/>
      <w:r w:rsidRPr="00AA5765">
        <w:rPr>
          <w:rFonts w:ascii="Calibri" w:eastAsia="Times New Roman" w:hAnsi="Calibri" w:cs="Calibri"/>
          <w:color w:val="000000"/>
          <w:sz w:val="20"/>
          <w:szCs w:val="20"/>
        </w:rPr>
        <w:t xml:space="preserve"> on cardiovascular dysfunction in inflammatory arthritis. </w:t>
      </w:r>
      <w:r w:rsidRPr="00AA5765">
        <w:rPr>
          <w:rFonts w:ascii="Calibri" w:eastAsia="Times New Roman" w:hAnsi="Calibri" w:cs="Calibri"/>
          <w:i/>
          <w:iCs/>
          <w:color w:val="000000"/>
          <w:sz w:val="20"/>
          <w:szCs w:val="20"/>
        </w:rPr>
        <w:t>Rheumatology.</w:t>
      </w:r>
      <w:r w:rsidRPr="00AA5765">
        <w:rPr>
          <w:rFonts w:ascii="Calibri" w:eastAsia="Times New Roman" w:hAnsi="Calibri" w:cs="Calibri"/>
          <w:color w:val="000000"/>
          <w:sz w:val="20"/>
          <w:szCs w:val="20"/>
        </w:rPr>
        <w:t>; 60(6):2852-61.</w:t>
      </w:r>
    </w:p>
    <w:sectPr w:rsidR="00C91F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65"/>
    <w:rsid w:val="00AA5765"/>
    <w:rsid w:val="00C91F96"/>
    <w:rsid w:val="00EE5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5012"/>
  <w15:chartTrackingRefBased/>
  <w15:docId w15:val="{CB21BC56-7E08-4243-8C5A-DCF52484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5765"/>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A5765"/>
    <w:rPr>
      <w:rFonts w:ascii="Calibri" w:hAnsi="Calibri" w:cs="Calibri" w:hint="default"/>
      <w:b/>
      <w:bCs/>
      <w:i w:val="0"/>
      <w:iCs w:val="0"/>
      <w:color w:val="000000"/>
      <w:sz w:val="32"/>
      <w:szCs w:val="32"/>
    </w:rPr>
  </w:style>
  <w:style w:type="character" w:customStyle="1" w:styleId="fontstyle31">
    <w:name w:val="fontstyle31"/>
    <w:basedOn w:val="DefaultParagraphFont"/>
    <w:rsid w:val="00AA5765"/>
    <w:rPr>
      <w:rFonts w:ascii="Calibri" w:hAnsi="Calibri" w:cs="Calibri" w:hint="default"/>
      <w:b w:val="0"/>
      <w:bCs w:val="0"/>
      <w:i/>
      <w:iCs/>
      <w:color w:val="000000"/>
      <w:sz w:val="22"/>
      <w:szCs w:val="22"/>
    </w:rPr>
  </w:style>
  <w:style w:type="character" w:customStyle="1" w:styleId="fontstyle41">
    <w:name w:val="fontstyle41"/>
    <w:basedOn w:val="DefaultParagraphFont"/>
    <w:rsid w:val="00AA5765"/>
    <w:rPr>
      <w:rFonts w:ascii="Times New Roman" w:hAnsi="Times New Roman" w:cs="Times New Roman" w:hint="default"/>
      <w:b w:val="0"/>
      <w:bCs w:val="0"/>
      <w:i w:val="0"/>
      <w:iCs w:val="0"/>
      <w:color w:val="000000"/>
      <w:sz w:val="14"/>
      <w:szCs w:val="14"/>
    </w:rPr>
  </w:style>
  <w:style w:type="character" w:customStyle="1" w:styleId="fontstyle51">
    <w:name w:val="fontstyle51"/>
    <w:basedOn w:val="DefaultParagraphFont"/>
    <w:rsid w:val="00AA5765"/>
    <w:rPr>
      <w:rFonts w:ascii="Symbol" w:hAnsi="Symbol"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EE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57B8"/>
    <w:rPr>
      <w:rFonts w:ascii="Courier New" w:eastAsia="Times New Roman" w:hAnsi="Courier New" w:cs="Courier New"/>
      <w:sz w:val="20"/>
      <w:szCs w:val="20"/>
    </w:rPr>
  </w:style>
  <w:style w:type="character" w:customStyle="1" w:styleId="y2iqfc">
    <w:name w:val="y2iqfc"/>
    <w:basedOn w:val="DefaultParagraphFont"/>
    <w:rsid w:val="00EE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40717">
      <w:bodyDiv w:val="1"/>
      <w:marLeft w:val="0"/>
      <w:marRight w:val="0"/>
      <w:marTop w:val="0"/>
      <w:marBottom w:val="0"/>
      <w:divBdr>
        <w:top w:val="none" w:sz="0" w:space="0" w:color="auto"/>
        <w:left w:val="none" w:sz="0" w:space="0" w:color="auto"/>
        <w:bottom w:val="none" w:sz="0" w:space="0" w:color="auto"/>
        <w:right w:val="none" w:sz="0" w:space="0" w:color="auto"/>
      </w:divBdr>
    </w:div>
    <w:div w:id="21185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4376</Words>
  <Characters>24947</Characters>
  <Application>Microsoft Office Word</Application>
  <DocSecurity>0</DocSecurity>
  <Lines>207</Lines>
  <Paragraphs>58</Paragraphs>
  <ScaleCrop>false</ScaleCrop>
  <Company/>
  <LinksUpToDate>false</LinksUpToDate>
  <CharactersWithSpaces>29265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rofaida refaat</dc:creator>
  <cp:keywords/>
  <dc:description/>
  <cp:lastModifiedBy>rofaida refaat</cp:lastModifiedBy>
  <cp:revision>2</cp:revision>
  <dcterms:created xsi:type="dcterms:W3CDTF">2024-05-11T16:58:00Z</dcterms:created>
  <dcterms:modified xsi:type="dcterms:W3CDTF">2024-05-11T17:03:00Z</dcterms:modified>
</cp:coreProperties>
</file>