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8EED3" w14:textId="70E6C987" w:rsidR="00645515" w:rsidRPr="00FF2030" w:rsidRDefault="00FF2030" w:rsidP="00AF5787">
      <w:pPr>
        <w:spacing w:before="120" w:after="0" w:line="360" w:lineRule="auto"/>
        <w:jc w:val="both"/>
        <w:rPr>
          <w:rFonts w:asciiTheme="majorBidi" w:hAnsiTheme="majorBidi" w:cstheme="majorBidi"/>
          <w:b/>
          <w:bCs/>
          <w:sz w:val="24"/>
          <w:szCs w:val="24"/>
        </w:rPr>
      </w:pPr>
      <w:r w:rsidRPr="00FF2030">
        <w:rPr>
          <w:rFonts w:asciiTheme="majorBidi" w:hAnsiTheme="majorBidi" w:cstheme="majorBidi"/>
          <w:b/>
          <w:bCs/>
          <w:sz w:val="24"/>
          <w:szCs w:val="24"/>
        </w:rPr>
        <w:t>Impact of</w:t>
      </w:r>
      <w:r w:rsidR="00645515" w:rsidRPr="00FF2030">
        <w:rPr>
          <w:rFonts w:asciiTheme="majorBidi" w:hAnsiTheme="majorBidi" w:cstheme="majorBidi"/>
          <w:b/>
          <w:bCs/>
          <w:sz w:val="24"/>
          <w:szCs w:val="24"/>
        </w:rPr>
        <w:t xml:space="preserve"> COVI</w:t>
      </w:r>
      <w:r w:rsidR="00C97326" w:rsidRPr="00FF2030">
        <w:rPr>
          <w:rFonts w:asciiTheme="majorBidi" w:hAnsiTheme="majorBidi" w:cstheme="majorBidi"/>
          <w:b/>
          <w:bCs/>
          <w:sz w:val="24"/>
          <w:szCs w:val="24"/>
        </w:rPr>
        <w:t>D-19 infection on Patients with</w:t>
      </w:r>
      <w:r w:rsidR="00645515" w:rsidRPr="00FF2030">
        <w:rPr>
          <w:rFonts w:asciiTheme="majorBidi" w:hAnsiTheme="majorBidi" w:cstheme="majorBidi"/>
          <w:b/>
          <w:bCs/>
          <w:sz w:val="24"/>
          <w:szCs w:val="24"/>
        </w:rPr>
        <w:t xml:space="preserve"> Chronic Liver Disease</w:t>
      </w:r>
    </w:p>
    <w:p w14:paraId="623D4C33" w14:textId="3658FD44" w:rsidR="00C4595C" w:rsidRPr="00FF2030" w:rsidRDefault="00C4595C" w:rsidP="00AF5787">
      <w:pPr>
        <w:spacing w:before="120" w:after="0" w:line="360" w:lineRule="auto"/>
        <w:jc w:val="both"/>
        <w:rPr>
          <w:rFonts w:asciiTheme="majorBidi" w:eastAsia="Calibri" w:hAnsiTheme="majorBidi" w:cstheme="majorBidi"/>
          <w:b/>
          <w:bCs/>
          <w:sz w:val="24"/>
          <w:szCs w:val="24"/>
          <w:lang w:bidi="ar-EG"/>
        </w:rPr>
      </w:pPr>
      <w:r w:rsidRPr="00FF2030">
        <w:rPr>
          <w:rFonts w:asciiTheme="majorBidi" w:eastAsia="Calibri" w:hAnsiTheme="majorBidi" w:cstheme="majorBidi"/>
          <w:b/>
          <w:bCs/>
          <w:sz w:val="24"/>
          <w:szCs w:val="24"/>
          <w:lang w:bidi="ar-EG"/>
        </w:rPr>
        <w:t xml:space="preserve">Abstract </w:t>
      </w:r>
    </w:p>
    <w:p w14:paraId="562BB4F0" w14:textId="65C949A1" w:rsidR="009F38C5" w:rsidRPr="00FF2030" w:rsidRDefault="007A4A52" w:rsidP="00AF5787">
      <w:pPr>
        <w:spacing w:before="120" w:after="0" w:line="346" w:lineRule="auto"/>
        <w:jc w:val="both"/>
        <w:rPr>
          <w:rFonts w:ascii="Times New Roman" w:eastAsia="Calibri" w:hAnsi="Times New Roman" w:cs="Times New Roman"/>
          <w:sz w:val="24"/>
          <w:szCs w:val="24"/>
        </w:rPr>
      </w:pPr>
      <w:r w:rsidRPr="00FF2030">
        <w:rPr>
          <w:rFonts w:asciiTheme="majorBidi" w:eastAsia="Calibri" w:hAnsiTheme="majorBidi" w:cstheme="majorBidi"/>
          <w:b/>
          <w:bCs/>
          <w:sz w:val="24"/>
          <w:szCs w:val="24"/>
          <w:lang w:bidi="ar-EG"/>
        </w:rPr>
        <w:t>Background</w:t>
      </w:r>
      <w:r w:rsidR="00EF3B98" w:rsidRPr="00FF2030">
        <w:rPr>
          <w:rFonts w:asciiTheme="majorBidi" w:eastAsia="Calibri" w:hAnsiTheme="majorBidi" w:cstheme="majorBidi"/>
          <w:b/>
          <w:bCs/>
          <w:sz w:val="24"/>
          <w:szCs w:val="24"/>
          <w:lang w:bidi="ar-EG"/>
        </w:rPr>
        <w:t xml:space="preserve"> </w:t>
      </w:r>
      <w:r w:rsidRPr="00FF2030">
        <w:rPr>
          <w:rFonts w:asciiTheme="majorBidi" w:eastAsia="Calibri" w:hAnsiTheme="majorBidi" w:cstheme="majorBidi"/>
          <w:b/>
          <w:bCs/>
          <w:sz w:val="24"/>
          <w:szCs w:val="24"/>
          <w:lang w:bidi="ar-EG"/>
        </w:rPr>
        <w:t>&amp; aim:</w:t>
      </w:r>
      <w:r w:rsidR="009F38C5" w:rsidRPr="00FF2030">
        <w:rPr>
          <w:rFonts w:ascii="Times New Roman" w:eastAsia="Calibri" w:hAnsi="Times New Roman" w:cs="Times New Roman"/>
          <w:sz w:val="24"/>
          <w:szCs w:val="24"/>
        </w:rPr>
        <w:t xml:space="preserve"> Elevation of liver chemistries in COVID19 infection has been documented worldwide. Our aim was to assess the impact of COVID19 on patients with chronic liver disease (CLD).</w:t>
      </w:r>
    </w:p>
    <w:p w14:paraId="39BB5DD0" w14:textId="7F08295B" w:rsidR="009F38C5" w:rsidRPr="00FF2030" w:rsidRDefault="007A4A52" w:rsidP="00AF5787">
      <w:pPr>
        <w:spacing w:before="120" w:after="0" w:line="346" w:lineRule="auto"/>
        <w:jc w:val="both"/>
        <w:rPr>
          <w:rFonts w:ascii="Times New Roman" w:eastAsia="Calibri" w:hAnsi="Times New Roman" w:cs="Times New Roman"/>
          <w:sz w:val="24"/>
          <w:szCs w:val="24"/>
        </w:rPr>
      </w:pPr>
      <w:r w:rsidRPr="00FF2030">
        <w:rPr>
          <w:rFonts w:asciiTheme="majorBidi" w:eastAsia="Calibri" w:hAnsiTheme="majorBidi" w:cstheme="majorBidi"/>
          <w:b/>
          <w:bCs/>
          <w:sz w:val="24"/>
          <w:szCs w:val="24"/>
          <w:lang w:bidi="ar-EG"/>
        </w:rPr>
        <w:t>Patients</w:t>
      </w:r>
      <w:r w:rsidR="00EF3B98" w:rsidRPr="00FF2030">
        <w:rPr>
          <w:rFonts w:asciiTheme="majorBidi" w:eastAsia="Calibri" w:hAnsiTheme="majorBidi" w:cstheme="majorBidi"/>
          <w:b/>
          <w:bCs/>
          <w:sz w:val="24"/>
          <w:szCs w:val="24"/>
          <w:lang w:bidi="ar-EG"/>
        </w:rPr>
        <w:t xml:space="preserve"> </w:t>
      </w:r>
      <w:r w:rsidRPr="00FF2030">
        <w:rPr>
          <w:rFonts w:asciiTheme="majorBidi" w:eastAsia="Calibri" w:hAnsiTheme="majorBidi" w:cstheme="majorBidi"/>
          <w:b/>
          <w:bCs/>
          <w:sz w:val="24"/>
          <w:szCs w:val="24"/>
          <w:lang w:bidi="ar-EG"/>
        </w:rPr>
        <w:t xml:space="preserve">&amp; methods: </w:t>
      </w:r>
      <w:r w:rsidR="009F38C5" w:rsidRPr="00FF2030">
        <w:rPr>
          <w:rFonts w:ascii="Times New Roman" w:eastAsia="Calibri" w:hAnsi="Times New Roman" w:cs="Times New Roman"/>
          <w:sz w:val="24"/>
          <w:szCs w:val="24"/>
        </w:rPr>
        <w:t>A total of 100 COVID19 patients (70 CLD patients and 30 non-CLD patients) were enrolled in a retrospective study to evaluate baseline and follow-up clinical and laboratory characteristics during 2020-2022.</w:t>
      </w:r>
    </w:p>
    <w:p w14:paraId="5330B98F" w14:textId="21B052EC" w:rsidR="009F38C5" w:rsidRPr="00FF2030" w:rsidRDefault="00645515" w:rsidP="00AF5787">
      <w:pPr>
        <w:spacing w:before="120" w:after="0" w:line="346" w:lineRule="auto"/>
        <w:jc w:val="both"/>
        <w:rPr>
          <w:rFonts w:ascii="Times New Roman" w:eastAsia="Calibri" w:hAnsi="Times New Roman" w:cs="Times New Roman"/>
          <w:sz w:val="24"/>
          <w:szCs w:val="24"/>
        </w:rPr>
      </w:pPr>
      <w:r w:rsidRPr="00FF2030">
        <w:rPr>
          <w:sz w:val="24"/>
          <w:szCs w:val="24"/>
        </w:rPr>
        <w:t xml:space="preserve"> </w:t>
      </w:r>
      <w:r w:rsidR="007A4A52" w:rsidRPr="00FF2030">
        <w:rPr>
          <w:rFonts w:asciiTheme="majorBidi" w:eastAsia="Calibri" w:hAnsiTheme="majorBidi" w:cstheme="majorBidi"/>
          <w:b/>
          <w:bCs/>
          <w:sz w:val="24"/>
          <w:szCs w:val="24"/>
          <w:lang w:bidi="ar-EG"/>
        </w:rPr>
        <w:t xml:space="preserve">Results: </w:t>
      </w:r>
      <w:r w:rsidR="009F38C5" w:rsidRPr="00FF2030">
        <w:rPr>
          <w:rFonts w:ascii="Times New Roman" w:eastAsia="Calibri" w:hAnsi="Times New Roman" w:cs="Times New Roman"/>
          <w:sz w:val="24"/>
          <w:szCs w:val="24"/>
        </w:rPr>
        <w:t xml:space="preserve">CLD patients had higher frequency of severe disease, ICU admission, non-invasive and mechanical ventilation and prolonged ICU stay. No significant differences between both groups regarding baseline and follow-up and clinical and laboratory data. </w:t>
      </w:r>
      <w:r w:rsidR="00793E00" w:rsidRPr="00FF2030">
        <w:rPr>
          <w:rFonts w:ascii="Times New Roman" w:eastAsia="Calibri" w:hAnsi="Times New Roman" w:cs="Times New Roman"/>
          <w:sz w:val="24"/>
          <w:szCs w:val="24"/>
        </w:rPr>
        <w:t>Each</w:t>
      </w:r>
      <w:r w:rsidR="009F38C5" w:rsidRPr="00FF2030">
        <w:rPr>
          <w:rFonts w:ascii="Times New Roman" w:eastAsia="Calibri" w:hAnsi="Times New Roman" w:cs="Times New Roman"/>
          <w:sz w:val="24"/>
          <w:szCs w:val="24"/>
        </w:rPr>
        <w:t xml:space="preserve"> group showed mild raised baseline liver enzymes</w:t>
      </w:r>
      <w:r w:rsidR="00241B32">
        <w:rPr>
          <w:rFonts w:ascii="Times New Roman" w:eastAsia="Calibri" w:hAnsi="Times New Roman" w:cs="Times New Roman"/>
          <w:sz w:val="24"/>
          <w:szCs w:val="24"/>
        </w:rPr>
        <w:t xml:space="preserve"> and serum bilirubin levels</w:t>
      </w:r>
      <w:r w:rsidR="009F38C5" w:rsidRPr="00FF2030">
        <w:rPr>
          <w:rFonts w:ascii="Times New Roman" w:eastAsia="Calibri" w:hAnsi="Times New Roman" w:cs="Times New Roman"/>
          <w:sz w:val="24"/>
          <w:szCs w:val="24"/>
        </w:rPr>
        <w:t xml:space="preserve"> with post-recovery improvement without statistical significance. </w:t>
      </w:r>
    </w:p>
    <w:p w14:paraId="06F57213" w14:textId="77777777" w:rsidR="009F38C5" w:rsidRPr="00FF2030" w:rsidRDefault="007A4A52" w:rsidP="00AF5787">
      <w:pPr>
        <w:spacing w:before="120" w:after="0" w:line="346" w:lineRule="auto"/>
        <w:jc w:val="both"/>
        <w:rPr>
          <w:rFonts w:ascii="Times New Roman" w:eastAsia="Calibri" w:hAnsi="Times New Roman" w:cs="Times New Roman"/>
          <w:sz w:val="24"/>
          <w:szCs w:val="24"/>
        </w:rPr>
      </w:pPr>
      <w:r w:rsidRPr="00FF2030">
        <w:rPr>
          <w:rFonts w:asciiTheme="majorBidi" w:eastAsia="Calibri" w:hAnsiTheme="majorBidi" w:cstheme="majorBidi"/>
          <w:b/>
          <w:bCs/>
          <w:sz w:val="24"/>
          <w:szCs w:val="24"/>
          <w:lang w:bidi="ar-EG"/>
        </w:rPr>
        <w:t>Conclusion:</w:t>
      </w:r>
      <w:r w:rsidRPr="00FF2030">
        <w:rPr>
          <w:rFonts w:asciiTheme="majorBidi" w:eastAsia="Calibri" w:hAnsiTheme="majorBidi" w:cstheme="majorBidi"/>
          <w:sz w:val="24"/>
          <w:szCs w:val="24"/>
          <w:lang w:bidi="ar-EG"/>
        </w:rPr>
        <w:t xml:space="preserve"> </w:t>
      </w:r>
      <w:r w:rsidR="009F38C5" w:rsidRPr="00FF2030">
        <w:rPr>
          <w:rFonts w:ascii="Times New Roman" w:eastAsia="Calibri" w:hAnsi="Times New Roman" w:cs="Times New Roman"/>
          <w:sz w:val="24"/>
          <w:szCs w:val="24"/>
        </w:rPr>
        <w:t xml:space="preserve">Severe infection, and prolonged hospital/ICU stay were higher in COVID19 patients with underling CLD. Monitoring of those </w:t>
      </w:r>
      <w:proofErr w:type="gramStart"/>
      <w:r w:rsidR="009F38C5" w:rsidRPr="00FF2030">
        <w:rPr>
          <w:rFonts w:ascii="Times New Roman" w:eastAsia="Calibri" w:hAnsi="Times New Roman" w:cs="Times New Roman"/>
          <w:sz w:val="24"/>
          <w:szCs w:val="24"/>
        </w:rPr>
        <w:t>high risk</w:t>
      </w:r>
      <w:proofErr w:type="gramEnd"/>
      <w:r w:rsidR="009F38C5" w:rsidRPr="00FF2030">
        <w:rPr>
          <w:rFonts w:ascii="Times New Roman" w:eastAsia="Calibri" w:hAnsi="Times New Roman" w:cs="Times New Roman"/>
          <w:sz w:val="24"/>
          <w:szCs w:val="24"/>
        </w:rPr>
        <w:t xml:space="preserve"> patients is a matter of worry increasing their diagnostic and therapeutic burden.</w:t>
      </w:r>
    </w:p>
    <w:p w14:paraId="21C5D030" w14:textId="25525AA6" w:rsidR="007A4A52" w:rsidRPr="00B32D78" w:rsidRDefault="007A4A52" w:rsidP="00AF5787">
      <w:pPr>
        <w:spacing w:before="120" w:after="0" w:line="346" w:lineRule="auto"/>
        <w:jc w:val="both"/>
        <w:rPr>
          <w:rFonts w:asciiTheme="majorBidi" w:hAnsiTheme="majorBidi" w:cstheme="majorBidi"/>
          <w:sz w:val="28"/>
          <w:szCs w:val="28"/>
        </w:rPr>
      </w:pPr>
      <w:r>
        <w:rPr>
          <w:rFonts w:asciiTheme="majorBidi" w:eastAsia="Calibri" w:hAnsiTheme="majorBidi" w:cstheme="majorBidi"/>
          <w:b/>
          <w:bCs/>
          <w:sz w:val="28"/>
          <w:szCs w:val="28"/>
          <w:lang w:bidi="ar-EG"/>
        </w:rPr>
        <w:t xml:space="preserve">Keywords: </w:t>
      </w:r>
      <w:r w:rsidR="00FF2030">
        <w:rPr>
          <w:rFonts w:asciiTheme="majorBidi" w:eastAsia="Calibri" w:hAnsiTheme="majorBidi" w:cstheme="majorBidi"/>
          <w:sz w:val="28"/>
          <w:szCs w:val="28"/>
          <w:lang w:bidi="ar-EG"/>
        </w:rPr>
        <w:t>long-</w:t>
      </w:r>
      <w:r w:rsidR="00953F3D" w:rsidRPr="00953F3D">
        <w:rPr>
          <w:rFonts w:asciiTheme="majorBidi" w:eastAsia="Calibri" w:hAnsiTheme="majorBidi" w:cstheme="majorBidi"/>
          <w:sz w:val="28"/>
          <w:szCs w:val="28"/>
          <w:lang w:bidi="ar-EG"/>
        </w:rPr>
        <w:t>term</w:t>
      </w:r>
      <w:r w:rsidR="00953F3D">
        <w:rPr>
          <w:rFonts w:asciiTheme="majorBidi" w:eastAsia="Calibri" w:hAnsiTheme="majorBidi" w:cstheme="majorBidi"/>
          <w:sz w:val="28"/>
          <w:szCs w:val="28"/>
          <w:lang w:bidi="ar-EG"/>
        </w:rPr>
        <w:t xml:space="preserve"> </w:t>
      </w:r>
      <w:r w:rsidR="00953F3D" w:rsidRPr="00953F3D">
        <w:rPr>
          <w:rFonts w:asciiTheme="majorBidi" w:eastAsia="Calibri" w:hAnsiTheme="majorBidi" w:cstheme="majorBidi"/>
          <w:sz w:val="28"/>
          <w:szCs w:val="28"/>
          <w:lang w:bidi="ar-EG"/>
        </w:rPr>
        <w:t>COVID</w:t>
      </w:r>
      <w:r w:rsidR="00953F3D">
        <w:rPr>
          <w:rFonts w:asciiTheme="majorBidi" w:eastAsia="Calibri" w:hAnsiTheme="majorBidi" w:cstheme="majorBidi"/>
          <w:sz w:val="28"/>
          <w:szCs w:val="28"/>
          <w:lang w:bidi="ar-EG"/>
        </w:rPr>
        <w:t xml:space="preserve"> 19, </w:t>
      </w:r>
      <w:r w:rsidR="00FF2030">
        <w:rPr>
          <w:rFonts w:asciiTheme="majorBidi" w:eastAsia="Calibri" w:hAnsiTheme="majorBidi" w:cstheme="majorBidi"/>
          <w:sz w:val="28"/>
          <w:szCs w:val="28"/>
          <w:lang w:bidi="ar-EG"/>
        </w:rPr>
        <w:t xml:space="preserve">chronic </w:t>
      </w:r>
      <w:r w:rsidR="00953F3D">
        <w:rPr>
          <w:rFonts w:asciiTheme="majorBidi" w:eastAsia="Calibri" w:hAnsiTheme="majorBidi" w:cstheme="majorBidi"/>
          <w:sz w:val="28"/>
          <w:szCs w:val="28"/>
          <w:lang w:bidi="ar-EG"/>
        </w:rPr>
        <w:t>liver disease.</w:t>
      </w:r>
    </w:p>
    <w:p w14:paraId="43ACA52C" w14:textId="557210A5" w:rsidR="007A4A52" w:rsidRPr="00F052D0" w:rsidRDefault="007A4A52" w:rsidP="00AF5787">
      <w:pPr>
        <w:spacing w:before="120" w:after="0" w:line="346" w:lineRule="auto"/>
        <w:jc w:val="both"/>
        <w:rPr>
          <w:rFonts w:asciiTheme="majorBidi" w:eastAsia="Calibri" w:hAnsiTheme="majorBidi" w:cstheme="majorBidi"/>
          <w:b/>
          <w:bCs/>
          <w:sz w:val="24"/>
          <w:szCs w:val="24"/>
          <w:rtl/>
          <w:lang w:bidi="ar-EG"/>
        </w:rPr>
      </w:pPr>
      <w:r w:rsidRPr="00F052D0">
        <w:rPr>
          <w:rFonts w:asciiTheme="majorBidi" w:eastAsia="Calibri" w:hAnsiTheme="majorBidi" w:cstheme="majorBidi"/>
          <w:b/>
          <w:bCs/>
          <w:sz w:val="24"/>
          <w:szCs w:val="24"/>
        </w:rPr>
        <w:t>Introduction</w:t>
      </w:r>
      <w:r w:rsidR="00AF5787">
        <w:rPr>
          <w:rFonts w:asciiTheme="majorBidi" w:eastAsia="Calibri" w:hAnsiTheme="majorBidi" w:cstheme="majorBidi"/>
          <w:b/>
          <w:bCs/>
          <w:sz w:val="24"/>
          <w:szCs w:val="24"/>
        </w:rPr>
        <w:t>:</w:t>
      </w:r>
    </w:p>
    <w:p w14:paraId="3D0BC16C" w14:textId="37E5C457" w:rsidR="00953F3D" w:rsidRPr="00F052D0" w:rsidRDefault="00A1646B" w:rsidP="00A1646B">
      <w:pPr>
        <w:spacing w:before="120" w:after="0" w:line="346" w:lineRule="auto"/>
        <w:jc w:val="both"/>
        <w:rPr>
          <w:rFonts w:asciiTheme="majorBidi" w:hAnsiTheme="majorBidi" w:cstheme="majorBidi"/>
          <w:sz w:val="24"/>
          <w:szCs w:val="24"/>
        </w:rPr>
      </w:pPr>
      <w:r w:rsidRPr="00A1646B">
        <w:rPr>
          <w:rFonts w:asciiTheme="majorBidi" w:hAnsiTheme="majorBidi" w:cstheme="majorBidi"/>
          <w:sz w:val="24"/>
          <w:szCs w:val="24"/>
        </w:rPr>
        <w:t xml:space="preserve">Severe Acute Respiratory Syndrome Coronavirus 2 (SARS-CoV-2) is the causative agent of Coronavirus Disease 19 (COVID-19), a highly contagious and dangerous virus that originated in Wuhan, China and rapidly expanded globally. </w:t>
      </w:r>
      <w:r w:rsidR="00EF3B98" w:rsidRPr="00F052D0">
        <w:rPr>
          <w:rFonts w:asciiTheme="majorBidi" w:hAnsiTheme="majorBidi" w:cstheme="majorBidi"/>
          <w:sz w:val="24"/>
          <w:szCs w:val="24"/>
        </w:rPr>
        <w:fldChar w:fldCharType="begin"/>
      </w:r>
      <w:r w:rsidR="0003636C">
        <w:rPr>
          <w:rFonts w:asciiTheme="majorBidi" w:hAnsiTheme="majorBidi" w:cstheme="majorBidi"/>
          <w:sz w:val="24"/>
          <w:szCs w:val="24"/>
        </w:rPr>
        <w:instrText xml:space="preserve"> ADDIN EN.CITE &lt;EndNote&gt;&lt;Cite&gt;&lt;Author&gt;Shereen&lt;/Author&gt;&lt;Year&gt;2020&lt;/Year&gt;&lt;RecNum&gt;1&lt;/RecNum&gt;&lt;DisplayText&gt;&lt;style face="bold"&gt;[1]&lt;/style&gt;&lt;/DisplayText&gt;&lt;record&gt;&lt;rec-number&gt;1&lt;/rec-number&gt;&lt;foreign-keys&gt;&lt;key app="EN" db-id="wtvrtsw5w0s99aeat5w5zsphtatatavew2zt" timestamp="1709644893"&gt;1&lt;/key&gt;&lt;/foreign-keys&gt;&lt;ref-type name="Journal Article"&gt;17&lt;/ref-type&gt;&lt;contributors&gt;&lt;authors&gt;&lt;author&gt;Shereen, Muhammad Adnan&lt;/author&gt;&lt;author&gt;Khan, Suliman&lt;/author&gt;&lt;author&gt;Kazmi, Abeer&lt;/author&gt;&lt;author&gt;Bashir, Nadia&lt;/author&gt;&lt;author&gt;Siddique, Rabeea&lt;/author&gt;&lt;/authors&gt;&lt;/contributors&gt;&lt;titles&gt;&lt;title&gt;COVID-19 infection: Emergence, transmission, and characteristics of human coronaviruses&lt;/title&gt;&lt;secondary-title&gt;Journal of advanced research&lt;/secondary-title&gt;&lt;/titles&gt;&lt;periodical&gt;&lt;full-title&gt;Journal of advanced research&lt;/full-title&gt;&lt;/periodical&gt;&lt;pages&gt;91-98&lt;/pages&gt;&lt;volume&gt;24&lt;/volume&gt;&lt;dates&gt;&lt;year&gt;2020&lt;/year&gt;&lt;/dates&gt;&lt;isbn&gt;2090-1232&lt;/isbn&gt;&lt;urls&gt;&lt;/urls&gt;&lt;/record&gt;&lt;/Cite&gt;&lt;/EndNote&gt;</w:instrText>
      </w:r>
      <w:r w:rsidR="00EF3B98" w:rsidRPr="00F052D0">
        <w:rPr>
          <w:rFonts w:asciiTheme="majorBidi" w:hAnsiTheme="majorBidi" w:cstheme="majorBidi"/>
          <w:sz w:val="24"/>
          <w:szCs w:val="24"/>
        </w:rPr>
        <w:fldChar w:fldCharType="separate"/>
      </w:r>
      <w:r w:rsidR="0003636C" w:rsidRPr="0003636C">
        <w:rPr>
          <w:rFonts w:asciiTheme="majorBidi" w:hAnsiTheme="majorBidi" w:cstheme="majorBidi"/>
          <w:b/>
          <w:noProof/>
          <w:sz w:val="24"/>
          <w:szCs w:val="24"/>
        </w:rPr>
        <w:t>[1]</w:t>
      </w:r>
      <w:r w:rsidR="00EF3B98" w:rsidRPr="00F052D0">
        <w:rPr>
          <w:rFonts w:asciiTheme="majorBidi" w:hAnsiTheme="majorBidi" w:cstheme="majorBidi"/>
          <w:sz w:val="24"/>
          <w:szCs w:val="24"/>
        </w:rPr>
        <w:fldChar w:fldCharType="end"/>
      </w:r>
      <w:r w:rsidR="00953F3D" w:rsidRPr="00F052D0">
        <w:rPr>
          <w:rFonts w:asciiTheme="majorBidi" w:hAnsiTheme="majorBidi" w:cstheme="majorBidi"/>
          <w:sz w:val="24"/>
          <w:szCs w:val="24"/>
        </w:rPr>
        <w:t xml:space="preserve">. </w:t>
      </w:r>
    </w:p>
    <w:p w14:paraId="1F940889" w14:textId="460F73F1" w:rsidR="008F5C7B" w:rsidRPr="00F052D0" w:rsidRDefault="00A1646B" w:rsidP="00A1646B">
      <w:pPr>
        <w:spacing w:before="120" w:after="0" w:line="346" w:lineRule="auto"/>
        <w:jc w:val="both"/>
        <w:rPr>
          <w:rFonts w:asciiTheme="majorBidi" w:hAnsiTheme="majorBidi" w:cstheme="majorBidi"/>
          <w:sz w:val="24"/>
          <w:szCs w:val="24"/>
        </w:rPr>
      </w:pPr>
      <w:r w:rsidRPr="00A1646B">
        <w:rPr>
          <w:rFonts w:asciiTheme="majorBidi" w:hAnsiTheme="majorBidi" w:cstheme="majorBidi"/>
          <w:sz w:val="24"/>
          <w:szCs w:val="24"/>
        </w:rPr>
        <w:t xml:space="preserve">Regardless of the viral state, the term "long COVID" refers to the manifestation of several symptoms even weeks or months after contracting a SARS-CoV-2 infection. Another name for it is post-COVID syndrome. It may be ongoing or exhibit intermittent or relapsing patterns. </w:t>
      </w:r>
      <w:r w:rsidR="00C755EF">
        <w:rPr>
          <w:rFonts w:asciiTheme="majorBidi" w:hAnsiTheme="majorBidi" w:cstheme="majorBidi"/>
          <w:sz w:val="24"/>
          <w:szCs w:val="24"/>
        </w:rPr>
        <w:fldChar w:fldCharType="begin"/>
      </w:r>
      <w:r w:rsidR="0003636C">
        <w:rPr>
          <w:rFonts w:asciiTheme="majorBidi" w:hAnsiTheme="majorBidi" w:cstheme="majorBidi"/>
          <w:sz w:val="24"/>
          <w:szCs w:val="24"/>
        </w:rPr>
        <w:instrText xml:space="preserve"> ADDIN EN.CITE &lt;EndNote&gt;&lt;Cite&gt;&lt;Author&gt;Patil&lt;/Author&gt;&lt;Year&gt;2023&lt;/Year&gt;&lt;RecNum&gt;24&lt;/RecNum&gt;&lt;DisplayText&gt;&lt;style face="bold"&gt;[2]&lt;/style&gt;&lt;/DisplayText&gt;&lt;record&gt;&lt;rec-number&gt;24&lt;/rec-number&gt;&lt;foreign-keys&gt;&lt;key app="EN" db-id="wtvrtsw5w0s99aeat5w5zsphtatatavew2zt" timestamp="1709645038"&gt;24&lt;/key&gt;&lt;/foreign-keys&gt;&lt;ref-type name="Journal Article"&gt;17&lt;/ref-type&gt;&lt;contributors&gt;&lt;authors&gt;&lt;author&gt;Patil, Shital&lt;/author&gt;&lt;author&gt;Narkar, Sanika&lt;/author&gt;&lt;author&gt;Dahiphale, Jayashree&lt;/author&gt;&lt;author&gt;Raka, Vipul&lt;/author&gt;&lt;author&gt;Choudhari, Shubham&lt;/author&gt;&lt;author&gt;Gondhali, Gajanan&lt;/author&gt;&lt;/authors&gt;&lt;/contributors&gt;&lt;titles&gt;&lt;title&gt;Long COVID symptoms, pathophysiology and possible mechanisms: Still, we are learning&lt;/title&gt;&lt;secondary-title&gt;World Journal of Advanced Pharmaceutical and Medical Research&lt;/secondary-title&gt;&lt;/titles&gt;&lt;periodical&gt;&lt;full-title&gt;World Journal of Advanced Pharmaceutical and Medical Research&lt;/full-title&gt;&lt;/periodical&gt;&lt;pages&gt;053-065&lt;/pages&gt;&lt;volume&gt;4&lt;/volume&gt;&lt;number&gt;01&lt;/number&gt;&lt;dates&gt;&lt;year&gt;2023&lt;/year&gt;&lt;/dates&gt;&lt;urls&gt;&lt;/urls&gt;&lt;/record&gt;&lt;/Cite&gt;&lt;/EndNote&gt;</w:instrText>
      </w:r>
      <w:r w:rsidR="00C755EF">
        <w:rPr>
          <w:rFonts w:asciiTheme="majorBidi" w:hAnsiTheme="majorBidi" w:cstheme="majorBidi"/>
          <w:sz w:val="24"/>
          <w:szCs w:val="24"/>
        </w:rPr>
        <w:fldChar w:fldCharType="separate"/>
      </w:r>
      <w:r w:rsidR="0003636C" w:rsidRPr="0003636C">
        <w:rPr>
          <w:rFonts w:asciiTheme="majorBidi" w:hAnsiTheme="majorBidi" w:cstheme="majorBidi"/>
          <w:b/>
          <w:noProof/>
          <w:sz w:val="24"/>
          <w:szCs w:val="24"/>
        </w:rPr>
        <w:t>[2]</w:t>
      </w:r>
      <w:r w:rsidR="00C755EF">
        <w:rPr>
          <w:rFonts w:asciiTheme="majorBidi" w:hAnsiTheme="majorBidi" w:cstheme="majorBidi"/>
          <w:sz w:val="24"/>
          <w:szCs w:val="24"/>
        </w:rPr>
        <w:fldChar w:fldCharType="end"/>
      </w:r>
      <w:r w:rsidR="008F5C7B" w:rsidRPr="007258C7">
        <w:rPr>
          <w:rFonts w:asciiTheme="majorBidi" w:hAnsiTheme="majorBidi" w:cstheme="majorBidi"/>
          <w:sz w:val="24"/>
          <w:szCs w:val="24"/>
        </w:rPr>
        <w:t>.</w:t>
      </w:r>
    </w:p>
    <w:p w14:paraId="0D1833CF" w14:textId="1E2C77E3" w:rsidR="008F5C7B" w:rsidRPr="00F052D0" w:rsidRDefault="00A1646B" w:rsidP="00A1646B">
      <w:pPr>
        <w:spacing w:before="120" w:after="0" w:line="346" w:lineRule="auto"/>
        <w:jc w:val="both"/>
        <w:rPr>
          <w:rFonts w:asciiTheme="majorBidi" w:hAnsiTheme="majorBidi" w:cstheme="majorBidi"/>
          <w:sz w:val="24"/>
          <w:szCs w:val="24"/>
        </w:rPr>
      </w:pPr>
      <w:r w:rsidRPr="00A1646B">
        <w:rPr>
          <w:rFonts w:asciiTheme="majorBidi" w:hAnsiTheme="majorBidi" w:cstheme="majorBidi"/>
          <w:sz w:val="24"/>
          <w:szCs w:val="24"/>
        </w:rPr>
        <w:t xml:space="preserve">One or more of the acute COVID symptoms may remain, or new symptoms may emerge. The majority of COVID-19 patients had negative PCR results, which suggests microbiological recovery. Thus, the interval between microbiological and clinical healing is known as post-COVID syndrome. </w:t>
      </w:r>
      <w:r w:rsidR="0023482C">
        <w:rPr>
          <w:rFonts w:asciiTheme="majorBidi" w:hAnsiTheme="majorBidi" w:cstheme="majorBidi"/>
          <w:sz w:val="24"/>
          <w:szCs w:val="24"/>
        </w:rPr>
        <w:fldChar w:fldCharType="begin"/>
      </w:r>
      <w:r w:rsidR="0003636C">
        <w:rPr>
          <w:rFonts w:asciiTheme="majorBidi" w:hAnsiTheme="majorBidi" w:cstheme="majorBidi"/>
          <w:sz w:val="24"/>
          <w:szCs w:val="24"/>
        </w:rPr>
        <w:instrText xml:space="preserve"> ADDIN EN.CITE &lt;EndNote&gt;&lt;Cite&gt;&lt;Author&gt;Raveendran&lt;/Author&gt;&lt;Year&gt;2021&lt;/Year&gt;&lt;RecNum&gt;26&lt;/RecNum&gt;&lt;DisplayText&gt;&lt;style face="bold"&gt;[3]&lt;/style&gt;&lt;/DisplayText&gt;&lt;record&gt;&lt;rec-number&gt;26&lt;/rec-number&gt;&lt;foreign-keys&gt;&lt;key app="EN" db-id="wtvrtsw5w0s99aeat5w5zsphtatatavew2zt" timestamp="1709645134"&gt;26&lt;/key&gt;&lt;/foreign-keys&gt;&lt;ref-type name="Journal Article"&gt;17&lt;/ref-type&gt;&lt;contributors&gt;&lt;authors&gt;&lt;author&gt;Raveendran, AV&lt;/author&gt;&lt;author&gt;Jayadevan, Rajeev&lt;/author&gt;&lt;author&gt;Sashidharan, S&lt;/author&gt;&lt;/authors&gt;&lt;/contributors&gt;&lt;titles&gt;&lt;title&gt;Long COVID: an overview&lt;/title&gt;&lt;secondary-title&gt;Diabetes &amp;amp; Metabolic Syndrome: Clinical Research &amp;amp; Reviews&lt;/secondary-title&gt;&lt;/titles&gt;&lt;periodical&gt;&lt;full-title&gt;Diabetes &amp;amp; Metabolic Syndrome: Clinical Research &amp;amp; Reviews&lt;/full-title&gt;&lt;/periodical&gt;&lt;pages&gt;869-875&lt;/pages&gt;&lt;volume&gt;15&lt;/volume&gt;&lt;number&gt;3&lt;/number&gt;&lt;dates&gt;&lt;year&gt;2021&lt;/year&gt;&lt;/dates&gt;&lt;isbn&gt;1871-4021&lt;/isbn&gt;&lt;urls&gt;&lt;/urls&gt;&lt;/record&gt;&lt;/Cite&gt;&lt;/EndNote&gt;</w:instrText>
      </w:r>
      <w:r w:rsidR="0023482C">
        <w:rPr>
          <w:rFonts w:asciiTheme="majorBidi" w:hAnsiTheme="majorBidi" w:cstheme="majorBidi"/>
          <w:sz w:val="24"/>
          <w:szCs w:val="24"/>
        </w:rPr>
        <w:fldChar w:fldCharType="separate"/>
      </w:r>
      <w:r w:rsidR="0003636C" w:rsidRPr="0003636C">
        <w:rPr>
          <w:rFonts w:asciiTheme="majorBidi" w:hAnsiTheme="majorBidi" w:cstheme="majorBidi"/>
          <w:b/>
          <w:noProof/>
          <w:sz w:val="24"/>
          <w:szCs w:val="24"/>
        </w:rPr>
        <w:t>[3]</w:t>
      </w:r>
      <w:r w:rsidR="0023482C">
        <w:rPr>
          <w:rFonts w:asciiTheme="majorBidi" w:hAnsiTheme="majorBidi" w:cstheme="majorBidi"/>
          <w:sz w:val="24"/>
          <w:szCs w:val="24"/>
        </w:rPr>
        <w:fldChar w:fldCharType="end"/>
      </w:r>
      <w:r w:rsidR="008F5C7B" w:rsidRPr="007258C7">
        <w:rPr>
          <w:rFonts w:asciiTheme="majorBidi" w:hAnsiTheme="majorBidi" w:cstheme="majorBidi"/>
          <w:sz w:val="24"/>
          <w:szCs w:val="24"/>
        </w:rPr>
        <w:t>.</w:t>
      </w:r>
    </w:p>
    <w:p w14:paraId="74883CFA" w14:textId="3AD5E998" w:rsidR="008F5C7B" w:rsidRPr="00F052D0" w:rsidRDefault="00A1646B" w:rsidP="00A1646B">
      <w:pPr>
        <w:spacing w:before="120" w:after="0" w:line="346" w:lineRule="auto"/>
        <w:jc w:val="both"/>
        <w:rPr>
          <w:rFonts w:asciiTheme="majorBidi" w:hAnsiTheme="majorBidi" w:cstheme="majorBidi"/>
          <w:sz w:val="24"/>
          <w:szCs w:val="24"/>
        </w:rPr>
      </w:pPr>
      <w:r w:rsidRPr="00A1646B">
        <w:rPr>
          <w:rFonts w:asciiTheme="majorBidi" w:hAnsiTheme="majorBidi" w:cstheme="majorBidi"/>
          <w:sz w:val="24"/>
          <w:szCs w:val="24"/>
        </w:rPr>
        <w:t xml:space="preserve">Post-acute COVID, which occurs when symptoms last longer than three weeks but less than twelve weeks, and chronic COVID, which occurs when symptoms last </w:t>
      </w:r>
      <w:r w:rsidRPr="00A1646B">
        <w:rPr>
          <w:rFonts w:asciiTheme="majorBidi" w:hAnsiTheme="majorBidi" w:cstheme="majorBidi"/>
          <w:sz w:val="24"/>
          <w:szCs w:val="24"/>
        </w:rPr>
        <w:lastRenderedPageBreak/>
        <w:t xml:space="preserve">longer than twelve weeks, are the two phases of post-COVID, also known as long COVID. </w:t>
      </w:r>
      <w:r w:rsidR="0023482C">
        <w:rPr>
          <w:rFonts w:asciiTheme="majorBidi" w:hAnsiTheme="majorBidi" w:cstheme="majorBidi"/>
          <w:sz w:val="24"/>
          <w:szCs w:val="24"/>
        </w:rPr>
        <w:fldChar w:fldCharType="begin"/>
      </w:r>
      <w:r w:rsidR="0003636C">
        <w:rPr>
          <w:rFonts w:asciiTheme="majorBidi" w:hAnsiTheme="majorBidi" w:cstheme="majorBidi"/>
          <w:sz w:val="24"/>
          <w:szCs w:val="24"/>
        </w:rPr>
        <w:instrText xml:space="preserve"> ADDIN EN.CITE &lt;EndNote&gt;&lt;Cite&gt;&lt;Author&gt;Shah&lt;/Author&gt;&lt;Year&gt;2022&lt;/Year&gt;&lt;RecNum&gt;25&lt;/RecNum&gt;&lt;DisplayText&gt;&lt;style face="bold"&gt;[4]&lt;/style&gt;&lt;/DisplayText&gt;&lt;record&gt;&lt;rec-number&gt;25&lt;/rec-number&gt;&lt;foreign-keys&gt;&lt;key app="EN" db-id="wtvrtsw5w0s99aeat5w5zsphtatatavew2zt" timestamp="1709645106"&gt;25&lt;/key&gt;&lt;/foreign-keys&gt;&lt;ref-type name="Journal Article"&gt;17&lt;/ref-type&gt;&lt;contributors&gt;&lt;authors&gt;&lt;author&gt;Shah, Ashutosh&lt;/author&gt;&lt;author&gt;Bhattad, Dhiraj&lt;/author&gt;&lt;/authors&gt;&lt;/contributors&gt;&lt;titles&gt;&lt;title&gt;Immediate and short-term prevalence of depression in covid-19 patients and its correlation with continued symptoms experience&lt;/title&gt;&lt;secondary-title&gt;Indian Journal of Psychiatry&lt;/secondary-title&gt;&lt;/titles&gt;&lt;periodical&gt;&lt;full-title&gt;Indian Journal of Psychiatry&lt;/full-title&gt;&lt;/periodical&gt;&lt;pages&gt;301&lt;/pages&gt;&lt;volume&gt;64&lt;/volume&gt;&lt;number&gt;3&lt;/number&gt;&lt;dates&gt;&lt;year&gt;2022&lt;/year&gt;&lt;/dates&gt;&lt;urls&gt;&lt;/urls&gt;&lt;/record&gt;&lt;/Cite&gt;&lt;/EndNote&gt;</w:instrText>
      </w:r>
      <w:r w:rsidR="0023482C">
        <w:rPr>
          <w:rFonts w:asciiTheme="majorBidi" w:hAnsiTheme="majorBidi" w:cstheme="majorBidi"/>
          <w:sz w:val="24"/>
          <w:szCs w:val="24"/>
        </w:rPr>
        <w:fldChar w:fldCharType="separate"/>
      </w:r>
      <w:r w:rsidR="0003636C" w:rsidRPr="0003636C">
        <w:rPr>
          <w:rFonts w:asciiTheme="majorBidi" w:hAnsiTheme="majorBidi" w:cstheme="majorBidi"/>
          <w:b/>
          <w:noProof/>
          <w:sz w:val="24"/>
          <w:szCs w:val="24"/>
        </w:rPr>
        <w:t>[4]</w:t>
      </w:r>
      <w:r w:rsidR="0023482C">
        <w:rPr>
          <w:rFonts w:asciiTheme="majorBidi" w:hAnsiTheme="majorBidi" w:cstheme="majorBidi"/>
          <w:sz w:val="24"/>
          <w:szCs w:val="24"/>
        </w:rPr>
        <w:fldChar w:fldCharType="end"/>
      </w:r>
      <w:r w:rsidR="008F5C7B" w:rsidRPr="007258C7">
        <w:rPr>
          <w:rFonts w:asciiTheme="majorBidi" w:hAnsiTheme="majorBidi" w:cstheme="majorBidi"/>
          <w:sz w:val="24"/>
          <w:szCs w:val="24"/>
        </w:rPr>
        <w:t>.</w:t>
      </w:r>
    </w:p>
    <w:p w14:paraId="0C32E7CF" w14:textId="74900F0F" w:rsidR="00953F3D" w:rsidRPr="00F052D0" w:rsidRDefault="00A1646B" w:rsidP="00A1646B">
      <w:pPr>
        <w:spacing w:before="120" w:after="0" w:line="346" w:lineRule="auto"/>
        <w:jc w:val="both"/>
        <w:rPr>
          <w:rFonts w:asciiTheme="majorBidi" w:hAnsiTheme="majorBidi" w:cstheme="majorBidi"/>
          <w:sz w:val="24"/>
          <w:szCs w:val="24"/>
        </w:rPr>
      </w:pPr>
      <w:r w:rsidRPr="00A1646B">
        <w:rPr>
          <w:rFonts w:asciiTheme="majorBidi" w:hAnsiTheme="majorBidi" w:cstheme="majorBidi"/>
          <w:sz w:val="24"/>
          <w:szCs w:val="24"/>
        </w:rPr>
        <w:t xml:space="preserve">Patients with COVID-19 may have unusually elevated liver enzyme values, suggesting at least transient damage. It's unclear, however, whether this is directly connected to the illness or to other variables. Furthermore, further study may be required to confirm the fair assumption that COVID-19 individuals who already have chronic liver disorders (CLD), such as cirrhosis or chronic hepatitis, would be at increased risk of significant liver damage. </w:t>
      </w:r>
      <w:r w:rsidR="00EF3B98" w:rsidRPr="007258C7">
        <w:rPr>
          <w:rFonts w:asciiTheme="majorBidi" w:hAnsiTheme="majorBidi" w:cstheme="majorBidi"/>
          <w:sz w:val="24"/>
          <w:szCs w:val="24"/>
        </w:rPr>
        <w:fldChar w:fldCharType="begin"/>
      </w:r>
      <w:r w:rsidR="0003636C">
        <w:rPr>
          <w:rFonts w:asciiTheme="majorBidi" w:hAnsiTheme="majorBidi" w:cstheme="majorBidi"/>
          <w:sz w:val="24"/>
          <w:szCs w:val="24"/>
        </w:rPr>
        <w:instrText xml:space="preserve"> ADDIN EN.CITE &lt;EndNote&gt;&lt;Cite&gt;&lt;Author&gt;Bajaj&lt;/Author&gt;&lt;Year&gt;2021&lt;/Year&gt;&lt;RecNum&gt;4&lt;/RecNum&gt;&lt;DisplayText&gt;&lt;style face="bold"&gt;[5]&lt;/style&gt;&lt;/DisplayText&gt;&lt;record&gt;&lt;rec-number&gt;4&lt;/rec-number&gt;&lt;foreign-keys&gt;&lt;key app="EN" db-id="wtvrtsw5w0s99aeat5w5zsphtatatavew2zt" timestamp="1709644893"&gt;4&lt;/key&gt;&lt;/foreign-keys&gt;&lt;ref-type name="Journal Article"&gt;17&lt;/ref-type&gt;&lt;contributors&gt;&lt;authors&gt;&lt;author&gt;Bajaj, Jasmohan S&lt;/author&gt;&lt;author&gt;Garcia-Tsao, Guadalupe&lt;/author&gt;&lt;author&gt;Biggins, Scott W&lt;/author&gt;&lt;author&gt;Kamath, Patrick S&lt;/author&gt;&lt;author&gt;Wong, Florence&lt;/author&gt;&lt;author&gt;McGeorge, Sara&lt;/author&gt;&lt;author&gt;Shaw, Jawaid&lt;/author&gt;&lt;author&gt;Pearson, Meredith&lt;/author&gt;&lt;author&gt;Chew, Micheal&lt;/author&gt;&lt;author&gt;Fagan, Andrew&lt;/author&gt;&lt;/authors&gt;&lt;/contributors&gt;&lt;titles&gt;&lt;title&gt;Comparison of mortality risk in patients with cirrhosis and COVID-19 compared with patients with cirrhosis alone and COVID-19 alone: multicentre matched cohort&lt;/title&gt;&lt;secondary-title&gt;Gut&lt;/secondary-title&gt;&lt;/titles&gt;&lt;periodical&gt;&lt;full-title&gt;Gut&lt;/full-title&gt;&lt;/periodical&gt;&lt;pages&gt;531-536&lt;/pages&gt;&lt;volume&gt;70&lt;/volume&gt;&lt;number&gt;3&lt;/number&gt;&lt;dates&gt;&lt;year&gt;2021&lt;/year&gt;&lt;/dates&gt;&lt;isbn&gt;0017-5749&lt;/isbn&gt;&lt;urls&gt;&lt;/urls&gt;&lt;/record&gt;&lt;/Cite&gt;&lt;/EndNote&gt;</w:instrText>
      </w:r>
      <w:r w:rsidR="00EF3B98" w:rsidRPr="007258C7">
        <w:rPr>
          <w:rFonts w:asciiTheme="majorBidi" w:hAnsiTheme="majorBidi" w:cstheme="majorBidi"/>
          <w:sz w:val="24"/>
          <w:szCs w:val="24"/>
        </w:rPr>
        <w:fldChar w:fldCharType="separate"/>
      </w:r>
      <w:r w:rsidR="0003636C" w:rsidRPr="0003636C">
        <w:rPr>
          <w:rFonts w:asciiTheme="majorBidi" w:hAnsiTheme="majorBidi" w:cstheme="majorBidi"/>
          <w:b/>
          <w:noProof/>
          <w:sz w:val="24"/>
          <w:szCs w:val="24"/>
        </w:rPr>
        <w:t>[5]</w:t>
      </w:r>
      <w:r w:rsidR="00EF3B98" w:rsidRPr="007258C7">
        <w:rPr>
          <w:rFonts w:asciiTheme="majorBidi" w:hAnsiTheme="majorBidi" w:cstheme="majorBidi"/>
          <w:sz w:val="24"/>
          <w:szCs w:val="24"/>
        </w:rPr>
        <w:fldChar w:fldCharType="end"/>
      </w:r>
      <w:r w:rsidR="00293488" w:rsidRPr="007258C7">
        <w:rPr>
          <w:rFonts w:asciiTheme="majorBidi" w:hAnsiTheme="majorBidi" w:cstheme="majorBidi"/>
          <w:sz w:val="24"/>
          <w:szCs w:val="24"/>
        </w:rPr>
        <w:t>.</w:t>
      </w:r>
    </w:p>
    <w:p w14:paraId="5333C672" w14:textId="10E9456B" w:rsidR="00601EBC" w:rsidRPr="00F052D0" w:rsidRDefault="00A1646B" w:rsidP="00C1118E">
      <w:pPr>
        <w:spacing w:before="120" w:after="0" w:line="346" w:lineRule="auto"/>
        <w:ind w:firstLine="720"/>
        <w:jc w:val="both"/>
        <w:rPr>
          <w:rFonts w:asciiTheme="majorBidi" w:hAnsiTheme="majorBidi" w:cstheme="majorBidi"/>
          <w:sz w:val="24"/>
          <w:szCs w:val="24"/>
        </w:rPr>
      </w:pPr>
      <w:r w:rsidRPr="00A1646B">
        <w:rPr>
          <w:rFonts w:asciiTheme="majorBidi" w:hAnsiTheme="majorBidi" w:cstheme="majorBidi"/>
          <w:sz w:val="24"/>
          <w:szCs w:val="24"/>
        </w:rPr>
        <w:t>As the number of COVID-19 patients rises</w:t>
      </w:r>
      <w:r w:rsidR="00293488" w:rsidRPr="00F052D0">
        <w:rPr>
          <w:rFonts w:asciiTheme="majorBidi" w:hAnsiTheme="majorBidi" w:cstheme="majorBidi"/>
          <w:sz w:val="24"/>
          <w:szCs w:val="24"/>
        </w:rPr>
        <w:t xml:space="preserve">, several </w:t>
      </w:r>
      <w:r w:rsidR="00293488" w:rsidRPr="0080011C">
        <w:rPr>
          <w:rFonts w:asciiTheme="majorBidi" w:hAnsiTheme="majorBidi" w:cstheme="majorBidi"/>
          <w:sz w:val="24"/>
          <w:szCs w:val="24"/>
          <w:highlight w:val="yellow"/>
        </w:rPr>
        <w:t>studies</w:t>
      </w:r>
      <w:r w:rsidR="008F0E47" w:rsidRPr="0080011C">
        <w:rPr>
          <w:rFonts w:asciiTheme="majorBidi" w:hAnsiTheme="majorBidi" w:cstheme="majorBidi"/>
          <w:sz w:val="24"/>
          <w:szCs w:val="24"/>
          <w:highlight w:val="yellow"/>
        </w:rPr>
        <w:t xml:space="preserve"> </w:t>
      </w:r>
      <w:r w:rsidR="008F0E47" w:rsidRPr="0080011C">
        <w:rPr>
          <w:rFonts w:asciiTheme="majorBidi" w:hAnsiTheme="majorBidi" w:cstheme="majorBidi"/>
          <w:sz w:val="24"/>
          <w:szCs w:val="24"/>
          <w:highlight w:val="yellow"/>
        </w:rPr>
        <w:fldChar w:fldCharType="begin">
          <w:fldData xml:space="preserve">PEVuZE5vdGU+PENpdGUgQXV0aG9yWWVhcj0iMSI+PEF1dGhvcj5adTwvQXV0aG9yPjxZZWFyPjIw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</w:fldData>
        </w:fldChar>
      </w:r>
      <w:r w:rsidR="00C1118E">
        <w:rPr>
          <w:rFonts w:asciiTheme="majorBidi" w:hAnsiTheme="majorBidi" w:cstheme="majorBidi"/>
          <w:sz w:val="24"/>
          <w:szCs w:val="24"/>
          <w:highlight w:val="yellow"/>
        </w:rPr>
        <w:instrText xml:space="preserve"> ADDIN EN.CITE </w:instrText>
      </w:r>
      <w:r w:rsidR="00C1118E">
        <w:rPr>
          <w:rFonts w:asciiTheme="majorBidi" w:hAnsiTheme="majorBidi" w:cstheme="majorBidi"/>
          <w:sz w:val="24"/>
          <w:szCs w:val="24"/>
          <w:highlight w:val="yellow"/>
        </w:rPr>
        <w:fldChar w:fldCharType="begin">
          <w:fldData xml:space="preserve">PEVuZE5vdGU+PENpdGUgQXV0aG9yWWVhcj0iMSI+PEF1dGhvcj5adTwvQXV0aG9yPjxZZWFyPjIw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</w:fldData>
        </w:fldChar>
      </w:r>
      <w:r w:rsidR="00C1118E">
        <w:rPr>
          <w:rFonts w:asciiTheme="majorBidi" w:hAnsiTheme="majorBidi" w:cstheme="majorBidi"/>
          <w:sz w:val="24"/>
          <w:szCs w:val="24"/>
          <w:highlight w:val="yellow"/>
        </w:rPr>
        <w:instrText xml:space="preserve"> ADDIN EN.CITE.DATA </w:instrText>
      </w:r>
      <w:r w:rsidR="00C1118E">
        <w:rPr>
          <w:rFonts w:asciiTheme="majorBidi" w:hAnsiTheme="majorBidi" w:cstheme="majorBidi"/>
          <w:sz w:val="24"/>
          <w:szCs w:val="24"/>
          <w:highlight w:val="yellow"/>
        </w:rPr>
      </w:r>
      <w:r w:rsidR="00C1118E">
        <w:rPr>
          <w:rFonts w:asciiTheme="majorBidi" w:hAnsiTheme="majorBidi" w:cstheme="majorBidi"/>
          <w:sz w:val="24"/>
          <w:szCs w:val="24"/>
          <w:highlight w:val="yellow"/>
        </w:rPr>
        <w:fldChar w:fldCharType="end"/>
      </w:r>
      <w:r w:rsidR="008F0E47" w:rsidRPr="0080011C">
        <w:rPr>
          <w:rFonts w:asciiTheme="majorBidi" w:hAnsiTheme="majorBidi" w:cstheme="majorBidi"/>
          <w:sz w:val="24"/>
          <w:szCs w:val="24"/>
          <w:highlight w:val="yellow"/>
        </w:rPr>
      </w:r>
      <w:r w:rsidR="008F0E47" w:rsidRPr="0080011C">
        <w:rPr>
          <w:rFonts w:asciiTheme="majorBidi" w:hAnsiTheme="majorBidi" w:cstheme="majorBidi"/>
          <w:sz w:val="24"/>
          <w:szCs w:val="24"/>
          <w:highlight w:val="yellow"/>
        </w:rPr>
        <w:fldChar w:fldCharType="separate"/>
      </w:r>
      <w:r w:rsidR="00C1118E" w:rsidRPr="00C1118E">
        <w:rPr>
          <w:rFonts w:asciiTheme="majorBidi" w:hAnsiTheme="majorBidi" w:cstheme="majorBidi"/>
          <w:b/>
          <w:i/>
          <w:noProof/>
          <w:sz w:val="24"/>
          <w:szCs w:val="24"/>
          <w:highlight w:val="yellow"/>
        </w:rPr>
        <w:t>Zu et al.,</w:t>
      </w:r>
      <w:r w:rsidR="0090328E">
        <w:rPr>
          <w:rFonts w:asciiTheme="majorBidi" w:hAnsiTheme="majorBidi" w:cstheme="majorBidi"/>
          <w:b/>
          <w:i/>
          <w:noProof/>
          <w:sz w:val="24"/>
          <w:szCs w:val="24"/>
        </w:rPr>
        <w:t xml:space="preserve"> </w:t>
      </w:r>
      <w:r w:rsidR="0090328E" w:rsidRPr="007258C7">
        <w:rPr>
          <w:rFonts w:asciiTheme="majorBidi" w:hAnsiTheme="majorBidi" w:cstheme="majorBidi"/>
          <w:sz w:val="24"/>
          <w:szCs w:val="24"/>
        </w:rPr>
        <w:fldChar w:fldCharType="begin"/>
      </w:r>
      <w:r w:rsidR="0090328E">
        <w:rPr>
          <w:rFonts w:asciiTheme="majorBidi" w:hAnsiTheme="majorBidi" w:cstheme="majorBidi"/>
          <w:sz w:val="24"/>
          <w:szCs w:val="24"/>
        </w:rPr>
        <w:instrText xml:space="preserve"> ADDIN EN.CITE &lt;EndNote&gt;&lt;Cite&gt;&lt;Author&gt;Ambrus&lt;/Author&gt;&lt;Year&gt;2021&lt;/Year&gt;&lt;RecNum&gt;5&lt;/RecNum&gt;&lt;DisplayText&gt;&lt;style face="bold"&gt;[9]&lt;/style&gt;&lt;/DisplayText&gt;&lt;record&gt;&lt;rec-number&gt;5&lt;/rec-number&gt;&lt;foreign-keys&gt;&lt;key app="EN" db-id="wtvrtsw5w0s99aeat5w5zsphtatatavew2zt" timestamp="1709644893"&gt;5&lt;/key&gt;&lt;/foreign-keys&gt;&lt;ref-type name="Journal Article"&gt;17&lt;/ref-type&gt;&lt;contributors&gt;&lt;authors&gt;&lt;author&gt;Ambrus, Csilla&lt;/author&gt;&lt;author&gt;Bakos, Éva&lt;/author&gt;&lt;author&gt;Sarkadi, Balázs&lt;/author&gt;&lt;author&gt;Özvegy-Laczka, Csilla&lt;/author&gt;&lt;author&gt;Telbisz, Ágnes&lt;/author&gt;&lt;/authors&gt;&lt;/contributors&gt;&lt;titles&gt;&lt;title&gt;Interactions of anti-COVID-19 drug candidates with hepatic transporters may cause liver toxicity and affect pharmacokinetics&lt;/title&gt;&lt;secondary-title&gt;Scientific Reports&lt;/secondary-title&gt;&lt;/titles&gt;&lt;periodical&gt;&lt;full-title&gt;Scientific Reports&lt;/full-title&gt;&lt;/periodical&gt;&lt;pages&gt;1-10&lt;/pages&gt;&lt;volume&gt;11&lt;/volume&gt;&lt;number&gt;1&lt;/number&gt;&lt;dates&gt;&lt;year&gt;2021&lt;/year&gt;&lt;/dates&gt;&lt;isbn&gt;2045-2322&lt;/isbn&gt;&lt;urls&gt;&lt;/urls&gt;&lt;/record&gt;&lt;/Cite&gt;&lt;/EndNote&gt;</w:instrText>
      </w:r>
      <w:r w:rsidR="0090328E" w:rsidRPr="007258C7">
        <w:rPr>
          <w:rFonts w:asciiTheme="majorBidi" w:hAnsiTheme="majorBidi" w:cstheme="majorBidi"/>
          <w:sz w:val="24"/>
          <w:szCs w:val="24"/>
        </w:rPr>
        <w:fldChar w:fldCharType="separate"/>
      </w:r>
      <w:r w:rsidR="0090328E" w:rsidRPr="0003636C">
        <w:rPr>
          <w:rFonts w:asciiTheme="majorBidi" w:hAnsiTheme="majorBidi" w:cstheme="majorBidi"/>
          <w:b/>
          <w:noProof/>
          <w:sz w:val="24"/>
          <w:szCs w:val="24"/>
        </w:rPr>
        <w:t>[</w:t>
      </w:r>
      <w:r w:rsidR="0090328E">
        <w:rPr>
          <w:rFonts w:asciiTheme="majorBidi" w:hAnsiTheme="majorBidi" w:cstheme="majorBidi"/>
          <w:b/>
          <w:noProof/>
          <w:sz w:val="24"/>
          <w:szCs w:val="24"/>
        </w:rPr>
        <w:t>6</w:t>
      </w:r>
      <w:r w:rsidR="0090328E" w:rsidRPr="0003636C">
        <w:rPr>
          <w:rFonts w:asciiTheme="majorBidi" w:hAnsiTheme="majorBidi" w:cstheme="majorBidi"/>
          <w:b/>
          <w:noProof/>
          <w:sz w:val="24"/>
          <w:szCs w:val="24"/>
        </w:rPr>
        <w:t>]</w:t>
      </w:r>
      <w:r w:rsidR="0090328E" w:rsidRPr="007258C7">
        <w:rPr>
          <w:rFonts w:asciiTheme="majorBidi" w:hAnsiTheme="majorBidi" w:cstheme="majorBidi"/>
          <w:sz w:val="24"/>
          <w:szCs w:val="24"/>
        </w:rPr>
        <w:fldChar w:fldCharType="end"/>
      </w:r>
      <w:r w:rsidR="00C1118E" w:rsidRPr="00C1118E">
        <w:rPr>
          <w:rFonts w:asciiTheme="majorBidi" w:hAnsiTheme="majorBidi" w:cstheme="majorBidi"/>
          <w:b/>
          <w:noProof/>
          <w:sz w:val="24"/>
          <w:szCs w:val="24"/>
          <w:highlight w:val="yellow"/>
          <w:vertAlign w:val="superscript"/>
        </w:rPr>
        <w:t xml:space="preserve">, </w:t>
      </w:r>
      <w:r w:rsidR="00C1118E" w:rsidRPr="00C1118E">
        <w:rPr>
          <w:rFonts w:asciiTheme="majorBidi" w:hAnsiTheme="majorBidi" w:cstheme="majorBidi"/>
          <w:b/>
          <w:i/>
          <w:noProof/>
          <w:sz w:val="24"/>
          <w:szCs w:val="24"/>
          <w:highlight w:val="yellow"/>
        </w:rPr>
        <w:t>Mao et al.,</w:t>
      </w:r>
      <w:r w:rsidR="0090328E">
        <w:rPr>
          <w:rFonts w:asciiTheme="majorBidi" w:hAnsiTheme="majorBidi" w:cstheme="majorBidi"/>
          <w:b/>
          <w:i/>
          <w:noProof/>
          <w:sz w:val="24"/>
          <w:szCs w:val="24"/>
        </w:rPr>
        <w:t xml:space="preserve"> </w:t>
      </w:r>
      <w:r w:rsidR="0090328E" w:rsidRPr="007258C7">
        <w:rPr>
          <w:rFonts w:asciiTheme="majorBidi" w:hAnsiTheme="majorBidi" w:cstheme="majorBidi"/>
          <w:sz w:val="24"/>
          <w:szCs w:val="24"/>
        </w:rPr>
        <w:fldChar w:fldCharType="begin"/>
      </w:r>
      <w:r w:rsidR="0090328E">
        <w:rPr>
          <w:rFonts w:asciiTheme="majorBidi" w:hAnsiTheme="majorBidi" w:cstheme="majorBidi"/>
          <w:sz w:val="24"/>
          <w:szCs w:val="24"/>
        </w:rPr>
        <w:instrText xml:space="preserve"> ADDIN EN.CITE &lt;EndNote&gt;&lt;Cite&gt;&lt;Author&gt;Ambrus&lt;/Author&gt;&lt;Year&gt;2021&lt;/Year&gt;&lt;RecNum&gt;5&lt;/RecNum&gt;&lt;DisplayText&gt;&lt;style face="bold"&gt;[9]&lt;/style&gt;&lt;/DisplayText&gt;&lt;record&gt;&lt;rec-number&gt;5&lt;/rec-number&gt;&lt;foreign-keys&gt;&lt;key app="EN" db-id="wtvrtsw5w0s99aeat5w5zsphtatatavew2zt" timestamp="1709644893"&gt;5&lt;/key&gt;&lt;/foreign-keys&gt;&lt;ref-type name="Journal Article"&gt;17&lt;/ref-type&gt;&lt;contributors&gt;&lt;authors&gt;&lt;author&gt;Ambrus, Csilla&lt;/author&gt;&lt;author&gt;Bakos, Éva&lt;/author&gt;&lt;author&gt;Sarkadi, Balázs&lt;/author&gt;&lt;author&gt;Özvegy-Laczka, Csilla&lt;/author&gt;&lt;author&gt;Telbisz, Ágnes&lt;/author&gt;&lt;/authors&gt;&lt;/contributors&gt;&lt;titles&gt;&lt;title&gt;Interactions of anti-COVID-19 drug candidates with hepatic transporters may cause liver toxicity and affect pharmacokinetics&lt;/title&gt;&lt;secondary-title&gt;Scientific Reports&lt;/secondary-title&gt;&lt;/titles&gt;&lt;periodical&gt;&lt;full-title&gt;Scientific Reports&lt;/full-title&gt;&lt;/periodical&gt;&lt;pages&gt;1-10&lt;/pages&gt;&lt;volume&gt;11&lt;/volume&gt;&lt;number&gt;1&lt;/number&gt;&lt;dates&gt;&lt;year&gt;2021&lt;/year&gt;&lt;/dates&gt;&lt;isbn&gt;2045-2322&lt;/isbn&gt;&lt;urls&gt;&lt;/urls&gt;&lt;/record&gt;&lt;/Cite&gt;&lt;/EndNote&gt;</w:instrText>
      </w:r>
      <w:r w:rsidR="0090328E" w:rsidRPr="007258C7">
        <w:rPr>
          <w:rFonts w:asciiTheme="majorBidi" w:hAnsiTheme="majorBidi" w:cstheme="majorBidi"/>
          <w:sz w:val="24"/>
          <w:szCs w:val="24"/>
        </w:rPr>
        <w:fldChar w:fldCharType="separate"/>
      </w:r>
      <w:r w:rsidR="0090328E" w:rsidRPr="0003636C">
        <w:rPr>
          <w:rFonts w:asciiTheme="majorBidi" w:hAnsiTheme="majorBidi" w:cstheme="majorBidi"/>
          <w:b/>
          <w:noProof/>
          <w:sz w:val="24"/>
          <w:szCs w:val="24"/>
        </w:rPr>
        <w:t>[</w:t>
      </w:r>
      <w:r w:rsidR="0090328E">
        <w:rPr>
          <w:rFonts w:asciiTheme="majorBidi" w:hAnsiTheme="majorBidi" w:cstheme="majorBidi"/>
          <w:b/>
          <w:noProof/>
          <w:sz w:val="24"/>
          <w:szCs w:val="24"/>
        </w:rPr>
        <w:t>7</w:t>
      </w:r>
      <w:r w:rsidR="0090328E" w:rsidRPr="0003636C">
        <w:rPr>
          <w:rFonts w:asciiTheme="majorBidi" w:hAnsiTheme="majorBidi" w:cstheme="majorBidi"/>
          <w:b/>
          <w:noProof/>
          <w:sz w:val="24"/>
          <w:szCs w:val="24"/>
        </w:rPr>
        <w:t>]</w:t>
      </w:r>
      <w:r w:rsidR="0090328E" w:rsidRPr="007258C7">
        <w:rPr>
          <w:rFonts w:asciiTheme="majorBidi" w:hAnsiTheme="majorBidi" w:cstheme="majorBidi"/>
          <w:sz w:val="24"/>
          <w:szCs w:val="24"/>
        </w:rPr>
        <w:fldChar w:fldCharType="end"/>
      </w:r>
      <w:r w:rsidR="00C1118E" w:rsidRPr="00C1118E">
        <w:rPr>
          <w:rFonts w:asciiTheme="majorBidi" w:hAnsiTheme="majorBidi" w:cstheme="majorBidi"/>
          <w:b/>
          <w:noProof/>
          <w:sz w:val="24"/>
          <w:szCs w:val="24"/>
          <w:highlight w:val="yellow"/>
          <w:vertAlign w:val="superscript"/>
        </w:rPr>
        <w:t xml:space="preserve">, </w:t>
      </w:r>
      <w:r w:rsidR="00C1118E" w:rsidRPr="00C1118E">
        <w:rPr>
          <w:rFonts w:asciiTheme="majorBidi" w:hAnsiTheme="majorBidi" w:cstheme="majorBidi"/>
          <w:b/>
          <w:i/>
          <w:noProof/>
          <w:sz w:val="24"/>
          <w:szCs w:val="24"/>
          <w:highlight w:val="yellow"/>
        </w:rPr>
        <w:t>Guan et al.,</w:t>
      </w:r>
      <w:r w:rsidR="0090328E">
        <w:rPr>
          <w:rFonts w:asciiTheme="majorBidi" w:hAnsiTheme="majorBidi" w:cstheme="majorBidi"/>
          <w:b/>
          <w:i/>
          <w:noProof/>
          <w:sz w:val="24"/>
          <w:szCs w:val="24"/>
        </w:rPr>
        <w:t xml:space="preserve"> </w:t>
      </w:r>
      <w:r w:rsidR="0090328E" w:rsidRPr="007258C7">
        <w:rPr>
          <w:rFonts w:asciiTheme="majorBidi" w:hAnsiTheme="majorBidi" w:cstheme="majorBidi"/>
          <w:sz w:val="24"/>
          <w:szCs w:val="24"/>
        </w:rPr>
        <w:fldChar w:fldCharType="begin"/>
      </w:r>
      <w:r w:rsidR="0090328E">
        <w:rPr>
          <w:rFonts w:asciiTheme="majorBidi" w:hAnsiTheme="majorBidi" w:cstheme="majorBidi"/>
          <w:sz w:val="24"/>
          <w:szCs w:val="24"/>
        </w:rPr>
        <w:instrText xml:space="preserve"> ADDIN EN.CITE &lt;EndNote&gt;&lt;Cite&gt;&lt;Author&gt;Ambrus&lt;/Author&gt;&lt;Year&gt;2021&lt;/Year&gt;&lt;RecNum&gt;5&lt;/RecNum&gt;&lt;DisplayText&gt;&lt;style face="bold"&gt;[9]&lt;/style&gt;&lt;/DisplayText&gt;&lt;record&gt;&lt;rec-number&gt;5&lt;/rec-number&gt;&lt;foreign-keys&gt;&lt;key app="EN" db-id="wtvrtsw5w0s99aeat5w5zsphtatatavew2zt" timestamp="1709644893"&gt;5&lt;/key&gt;&lt;/foreign-keys&gt;&lt;ref-type name="Journal Article"&gt;17&lt;/ref-type&gt;&lt;contributors&gt;&lt;authors&gt;&lt;author&gt;Ambrus, Csilla&lt;/author&gt;&lt;author&gt;Bakos, Éva&lt;/author&gt;&lt;author&gt;Sarkadi, Balázs&lt;/author&gt;&lt;author&gt;Özvegy-Laczka, Csilla&lt;/author&gt;&lt;author&gt;Telbisz, Ágnes&lt;/author&gt;&lt;/authors&gt;&lt;/contributors&gt;&lt;titles&gt;&lt;title&gt;Interactions of anti-COVID-19 drug candidates with hepatic transporters may cause liver toxicity and affect pharmacokinetics&lt;/title&gt;&lt;secondary-title&gt;Scientific Reports&lt;/secondary-title&gt;&lt;/titles&gt;&lt;periodical&gt;&lt;full-title&gt;Scientific Reports&lt;/full-title&gt;&lt;/periodical&gt;&lt;pages&gt;1-10&lt;/pages&gt;&lt;volume&gt;11&lt;/volume&gt;&lt;number&gt;1&lt;/number&gt;&lt;dates&gt;&lt;year&gt;2021&lt;/year&gt;&lt;/dates&gt;&lt;isbn&gt;2045-2322&lt;/isbn&gt;&lt;urls&gt;&lt;/urls&gt;&lt;/record&gt;&lt;/Cite&gt;&lt;/EndNote&gt;</w:instrText>
      </w:r>
      <w:r w:rsidR="0090328E" w:rsidRPr="007258C7">
        <w:rPr>
          <w:rFonts w:asciiTheme="majorBidi" w:hAnsiTheme="majorBidi" w:cstheme="majorBidi"/>
          <w:sz w:val="24"/>
          <w:szCs w:val="24"/>
        </w:rPr>
        <w:fldChar w:fldCharType="separate"/>
      </w:r>
      <w:r w:rsidR="0090328E" w:rsidRPr="0003636C">
        <w:rPr>
          <w:rFonts w:asciiTheme="majorBidi" w:hAnsiTheme="majorBidi" w:cstheme="majorBidi"/>
          <w:b/>
          <w:noProof/>
          <w:sz w:val="24"/>
          <w:szCs w:val="24"/>
        </w:rPr>
        <w:t>[</w:t>
      </w:r>
      <w:r w:rsidR="0090328E">
        <w:rPr>
          <w:rFonts w:asciiTheme="majorBidi" w:hAnsiTheme="majorBidi" w:cstheme="majorBidi"/>
          <w:b/>
          <w:noProof/>
          <w:sz w:val="24"/>
          <w:szCs w:val="24"/>
        </w:rPr>
        <w:t>8</w:t>
      </w:r>
      <w:r w:rsidR="0090328E" w:rsidRPr="0003636C">
        <w:rPr>
          <w:rFonts w:asciiTheme="majorBidi" w:hAnsiTheme="majorBidi" w:cstheme="majorBidi"/>
          <w:b/>
          <w:noProof/>
          <w:sz w:val="24"/>
          <w:szCs w:val="24"/>
        </w:rPr>
        <w:t>]</w:t>
      </w:r>
      <w:r w:rsidR="0090328E" w:rsidRPr="007258C7">
        <w:rPr>
          <w:rFonts w:asciiTheme="majorBidi" w:hAnsiTheme="majorBidi" w:cstheme="majorBidi"/>
          <w:sz w:val="24"/>
          <w:szCs w:val="24"/>
        </w:rPr>
        <w:fldChar w:fldCharType="end"/>
      </w:r>
      <w:r w:rsidR="008F0E47" w:rsidRPr="0080011C">
        <w:rPr>
          <w:rFonts w:asciiTheme="majorBidi" w:hAnsiTheme="majorBidi" w:cstheme="majorBidi"/>
          <w:sz w:val="24"/>
          <w:szCs w:val="24"/>
          <w:highlight w:val="yellow"/>
        </w:rPr>
        <w:fldChar w:fldCharType="end"/>
      </w:r>
      <w:r w:rsidR="00293488" w:rsidRPr="00F052D0">
        <w:rPr>
          <w:rFonts w:asciiTheme="majorBidi" w:hAnsiTheme="majorBidi" w:cstheme="majorBidi"/>
          <w:sz w:val="24"/>
          <w:szCs w:val="24"/>
        </w:rPr>
        <w:t xml:space="preserve"> </w:t>
      </w:r>
      <w:r>
        <w:rPr>
          <w:rFonts w:asciiTheme="majorBidi" w:hAnsiTheme="majorBidi" w:cstheme="majorBidi"/>
          <w:sz w:val="24"/>
          <w:szCs w:val="24"/>
        </w:rPr>
        <w:t>revealed</w:t>
      </w:r>
      <w:r w:rsidR="00293488" w:rsidRPr="00F052D0">
        <w:rPr>
          <w:rFonts w:asciiTheme="majorBidi" w:hAnsiTheme="majorBidi" w:cstheme="majorBidi"/>
          <w:sz w:val="24"/>
          <w:szCs w:val="24"/>
        </w:rPr>
        <w:t xml:space="preserve"> that </w:t>
      </w:r>
      <w:r w:rsidRPr="00A1646B">
        <w:rPr>
          <w:rFonts w:asciiTheme="majorBidi" w:hAnsiTheme="majorBidi" w:cstheme="majorBidi"/>
          <w:sz w:val="24"/>
          <w:szCs w:val="24"/>
        </w:rPr>
        <w:t>After lung disease, the liver is the organ most often impacted. Between 14.8 and 53.1% of infected individuals showed atypical levels of the transaminases aspartate aminotransferase (AST) and alanine aminotransferase (ALT). The majority of the rise in serum bilirubin was minor</w:t>
      </w:r>
      <w:bookmarkStart w:id="0" w:name="_Hlk166181264"/>
      <w:r w:rsidRPr="00A1646B">
        <w:rPr>
          <w:rFonts w:asciiTheme="majorBidi" w:hAnsiTheme="majorBidi" w:cstheme="majorBidi"/>
          <w:sz w:val="24"/>
          <w:szCs w:val="24"/>
        </w:rPr>
        <w:t xml:space="preserve">. </w:t>
      </w:r>
      <w:r w:rsidR="00EF3B98" w:rsidRPr="007258C7">
        <w:rPr>
          <w:rFonts w:asciiTheme="majorBidi" w:hAnsiTheme="majorBidi" w:cstheme="majorBidi"/>
          <w:sz w:val="24"/>
          <w:szCs w:val="24"/>
        </w:rPr>
        <w:fldChar w:fldCharType="begin"/>
      </w:r>
      <w:r w:rsidR="0003636C">
        <w:rPr>
          <w:rFonts w:asciiTheme="majorBidi" w:hAnsiTheme="majorBidi" w:cstheme="majorBidi"/>
          <w:sz w:val="24"/>
          <w:szCs w:val="24"/>
        </w:rPr>
        <w:instrText xml:space="preserve"> ADDIN EN.CITE &lt;EndNote&gt;&lt;Cite&gt;&lt;Author&gt;Ambrus&lt;/Author&gt;&lt;Year&gt;2021&lt;/Year&gt;&lt;RecNum&gt;5&lt;/RecNum&gt;&lt;DisplayText&gt;&lt;style face="bold"&gt;[9]&lt;/style&gt;&lt;/DisplayText&gt;&lt;record&gt;&lt;rec-number&gt;5&lt;/rec-number&gt;&lt;foreign-keys&gt;&lt;key app="EN" db-id="wtvrtsw5w0s99aeat5w5zsphtatatavew2zt" timestamp="1709644893"&gt;5&lt;/key&gt;&lt;/foreign-keys&gt;&lt;ref-type name="Journal Article"&gt;17&lt;/ref-type&gt;&lt;contributors&gt;&lt;authors&gt;&lt;author&gt;Ambrus, Csilla&lt;/author&gt;&lt;author&gt;Bakos, Éva&lt;/author&gt;&lt;author&gt;Sarkadi, Balázs&lt;/author&gt;&lt;author&gt;Özvegy-Laczka, Csilla&lt;/author&gt;&lt;author&gt;Telbisz, Ágnes&lt;/author&gt;&lt;/authors&gt;&lt;/contributors&gt;&lt;titles&gt;&lt;title&gt;Interactions of anti-COVID-19 drug candidates with hepatic transporters may cause liver toxicity and affect pharmacokinetics&lt;/title&gt;&lt;secondary-title&gt;Scientific Reports&lt;/secondary-title&gt;&lt;/titles&gt;&lt;periodical&gt;&lt;full-title&gt;Scientific Reports&lt;/full-title&gt;&lt;/periodical&gt;&lt;pages&gt;1-10&lt;/pages&gt;&lt;volume&gt;11&lt;/volume&gt;&lt;number&gt;1&lt;/number&gt;&lt;dates&gt;&lt;year&gt;2021&lt;/year&gt;&lt;/dates&gt;&lt;isbn&gt;2045-2322&lt;/isbn&gt;&lt;urls&gt;&lt;/urls&gt;&lt;/record&gt;&lt;/Cite&gt;&lt;/EndNote&gt;</w:instrText>
      </w:r>
      <w:r w:rsidR="00EF3B98" w:rsidRPr="007258C7">
        <w:rPr>
          <w:rFonts w:asciiTheme="majorBidi" w:hAnsiTheme="majorBidi" w:cstheme="majorBidi"/>
          <w:sz w:val="24"/>
          <w:szCs w:val="24"/>
        </w:rPr>
        <w:fldChar w:fldCharType="separate"/>
      </w:r>
      <w:r w:rsidR="0003636C" w:rsidRPr="0003636C">
        <w:rPr>
          <w:rFonts w:asciiTheme="majorBidi" w:hAnsiTheme="majorBidi" w:cstheme="majorBidi"/>
          <w:b/>
          <w:noProof/>
          <w:sz w:val="24"/>
          <w:szCs w:val="24"/>
        </w:rPr>
        <w:t>[9]</w:t>
      </w:r>
      <w:r w:rsidR="00EF3B98" w:rsidRPr="007258C7">
        <w:rPr>
          <w:rFonts w:asciiTheme="majorBidi" w:hAnsiTheme="majorBidi" w:cstheme="majorBidi"/>
          <w:sz w:val="24"/>
          <w:szCs w:val="24"/>
        </w:rPr>
        <w:fldChar w:fldCharType="end"/>
      </w:r>
      <w:bookmarkEnd w:id="0"/>
      <w:r w:rsidR="00293488" w:rsidRPr="00F052D0">
        <w:rPr>
          <w:rFonts w:asciiTheme="majorBidi" w:hAnsiTheme="majorBidi" w:cstheme="majorBidi"/>
          <w:sz w:val="24"/>
          <w:szCs w:val="24"/>
        </w:rPr>
        <w:t>.</w:t>
      </w:r>
      <w:r w:rsidR="00380167" w:rsidRPr="00F052D0">
        <w:rPr>
          <w:rFonts w:asciiTheme="majorBidi" w:hAnsiTheme="majorBidi" w:cstheme="majorBidi"/>
          <w:sz w:val="24"/>
          <w:szCs w:val="24"/>
        </w:rPr>
        <w:t xml:space="preserve"> </w:t>
      </w:r>
      <w:r w:rsidRPr="00A1646B">
        <w:rPr>
          <w:rFonts w:asciiTheme="majorBidi" w:hAnsiTheme="majorBidi" w:cstheme="majorBidi"/>
          <w:sz w:val="24"/>
          <w:szCs w:val="24"/>
        </w:rPr>
        <w:t>Research on COVID-19 infection and CLD patients is lacking in our area. Thus, our goal was to evaluate how COVID19 affected CLD patients.</w:t>
      </w:r>
      <w:r w:rsidR="008F0E47">
        <w:rPr>
          <w:rFonts w:asciiTheme="majorBidi" w:hAnsiTheme="majorBidi" w:cstheme="majorBidi"/>
          <w:sz w:val="24"/>
          <w:szCs w:val="24"/>
        </w:rPr>
        <w:t xml:space="preserve"> </w:t>
      </w:r>
      <w:r w:rsidR="008F0E47">
        <w:rPr>
          <w:rFonts w:asciiTheme="majorBidi" w:hAnsiTheme="majorBidi" w:cstheme="majorBidi"/>
          <w:sz w:val="24"/>
          <w:szCs w:val="24"/>
        </w:rPr>
        <w:fldChar w:fldCharType="begin"/>
      </w:r>
      <w:r w:rsidR="0003636C">
        <w:rPr>
          <w:rFonts w:asciiTheme="majorBidi" w:hAnsiTheme="majorBidi" w:cstheme="majorBidi"/>
          <w:sz w:val="24"/>
          <w:szCs w:val="24"/>
        </w:rPr>
        <w:instrText xml:space="preserve"> ADDIN EN.CITE &lt;EndNote&gt;&lt;Cite&gt;&lt;Author&gt;Abd El Rhman&lt;/Author&gt;&lt;Year&gt;2020&lt;/Year&gt;&lt;RecNum&gt;27&lt;/RecNum&gt;&lt;DisplayText&gt;&lt;style face="bold"&gt;[10]&lt;/style&gt;&lt;/DisplayText&gt;&lt;record&gt;&lt;rec-number&gt;27&lt;/rec-number&gt;&lt;foreign-keys&gt;&lt;key app="EN" db-id="wtvrtsw5w0s99aeat5w5zsphtatatavew2zt" timestamp="1709645202"&gt;27&lt;/key&gt;&lt;/foreign-keys&gt;&lt;ref-type name="Journal Article"&gt;17&lt;/ref-type&gt;&lt;contributors&gt;&lt;authors&gt;&lt;author&gt;Abd El Rhman, Mona Mohammed&lt;/author&gt;&lt;author&gt;Shafik, Noha Saber&lt;/author&gt;&lt;author&gt;Maher, Amira&lt;/author&gt;&lt;author&gt;Hemdan, Shimaa Badawy&lt;/author&gt;&lt;author&gt;Abd Elhamid, Reem Mahmoud&lt;/author&gt;&lt;/authors&gt;&lt;/contributors&gt;&lt;titles&gt;&lt;title&gt;Liver Involvement in COVID-19 infected patients&lt;/title&gt;&lt;secondary-title&gt;Sohag Medical Journal&lt;/secondary-title&gt;&lt;/titles&gt;&lt;periodical&gt;&lt;full-title&gt;Sohag Medical Journal&lt;/full-title&gt;&lt;/periodical&gt;&lt;pages&gt;15-19&lt;/pages&gt;&lt;volume&gt;24&lt;/volume&gt;&lt;number&gt;2&lt;/number&gt;&lt;dates&gt;&lt;year&gt;2020&lt;/year&gt;&lt;/dates&gt;&lt;isbn&gt;1687-8353&lt;/isbn&gt;&lt;urls&gt;&lt;/urls&gt;&lt;/record&gt;&lt;/Cite&gt;&lt;/EndNote&gt;</w:instrText>
      </w:r>
      <w:r w:rsidR="008F0E47">
        <w:rPr>
          <w:rFonts w:asciiTheme="majorBidi" w:hAnsiTheme="majorBidi" w:cstheme="majorBidi"/>
          <w:sz w:val="24"/>
          <w:szCs w:val="24"/>
        </w:rPr>
        <w:fldChar w:fldCharType="separate"/>
      </w:r>
      <w:r w:rsidR="0003636C" w:rsidRPr="0003636C">
        <w:rPr>
          <w:rFonts w:asciiTheme="majorBidi" w:hAnsiTheme="majorBidi" w:cstheme="majorBidi"/>
          <w:b/>
          <w:noProof/>
          <w:sz w:val="24"/>
          <w:szCs w:val="24"/>
        </w:rPr>
        <w:t>[10]</w:t>
      </w:r>
      <w:r w:rsidR="008F0E47">
        <w:rPr>
          <w:rFonts w:asciiTheme="majorBidi" w:hAnsiTheme="majorBidi" w:cstheme="majorBidi"/>
          <w:sz w:val="24"/>
          <w:szCs w:val="24"/>
        </w:rPr>
        <w:fldChar w:fldCharType="end"/>
      </w:r>
      <w:r w:rsidR="00601EBC" w:rsidRPr="00F052D0">
        <w:rPr>
          <w:rFonts w:asciiTheme="majorBidi" w:hAnsiTheme="majorBidi" w:cstheme="majorBidi"/>
          <w:sz w:val="24"/>
          <w:szCs w:val="24"/>
        </w:rPr>
        <w:t xml:space="preserve">. </w:t>
      </w:r>
    </w:p>
    <w:p w14:paraId="6150DAF0" w14:textId="17554383" w:rsidR="004E13F0" w:rsidRPr="0066023D" w:rsidRDefault="00582036" w:rsidP="00AF5787">
      <w:pPr>
        <w:spacing w:before="120" w:after="0" w:line="360" w:lineRule="auto"/>
        <w:rPr>
          <w:rFonts w:asciiTheme="majorBidi" w:eastAsia="Calibri" w:hAnsiTheme="majorBidi" w:cstheme="majorBidi"/>
          <w:b/>
          <w:bCs/>
          <w:sz w:val="24"/>
          <w:szCs w:val="24"/>
        </w:rPr>
      </w:pPr>
      <w:r w:rsidRPr="0066023D">
        <w:rPr>
          <w:rFonts w:asciiTheme="majorBidi" w:eastAsia="Calibri" w:hAnsiTheme="majorBidi" w:cstheme="majorBidi"/>
          <w:b/>
          <w:bCs/>
          <w:sz w:val="24"/>
          <w:szCs w:val="24"/>
        </w:rPr>
        <w:t xml:space="preserve">Patients and Methods </w:t>
      </w:r>
    </w:p>
    <w:p w14:paraId="75EC22F2" w14:textId="6629F309" w:rsidR="00815076" w:rsidRPr="0066023D" w:rsidRDefault="00815076" w:rsidP="00AF5787">
      <w:pPr>
        <w:spacing w:before="120" w:after="0" w:line="360" w:lineRule="auto"/>
        <w:jc w:val="both"/>
        <w:rPr>
          <w:rFonts w:asciiTheme="majorBidi" w:eastAsia="Calibri" w:hAnsiTheme="majorBidi" w:cstheme="majorBidi"/>
          <w:sz w:val="24"/>
          <w:szCs w:val="24"/>
        </w:rPr>
      </w:pPr>
      <w:r w:rsidRPr="0066023D">
        <w:rPr>
          <w:rFonts w:asciiTheme="majorBidi" w:eastAsia="Calibri" w:hAnsiTheme="majorBidi" w:cstheme="majorBidi"/>
          <w:b/>
          <w:bCs/>
          <w:i/>
          <w:iCs/>
          <w:sz w:val="24"/>
          <w:szCs w:val="24"/>
        </w:rPr>
        <w:t>Study design</w:t>
      </w:r>
      <w:r w:rsidRPr="0066023D">
        <w:rPr>
          <w:rFonts w:asciiTheme="majorBidi" w:eastAsia="Calibri" w:hAnsiTheme="majorBidi" w:cstheme="majorBidi"/>
          <w:sz w:val="24"/>
          <w:szCs w:val="24"/>
        </w:rPr>
        <w:t xml:space="preserve"> </w:t>
      </w:r>
    </w:p>
    <w:p w14:paraId="219D1F3F" w14:textId="77777777" w:rsidR="00A1646B" w:rsidRPr="00A1646B" w:rsidRDefault="00A1646B" w:rsidP="00A1646B">
      <w:pPr>
        <w:spacing w:before="120" w:after="0" w:line="360" w:lineRule="auto"/>
        <w:ind w:firstLine="720"/>
        <w:jc w:val="both"/>
        <w:rPr>
          <w:rFonts w:asciiTheme="majorBidi" w:hAnsiTheme="majorBidi" w:cstheme="majorBidi"/>
          <w:sz w:val="24"/>
          <w:szCs w:val="24"/>
        </w:rPr>
      </w:pPr>
      <w:r w:rsidRPr="00A1646B">
        <w:rPr>
          <w:rFonts w:asciiTheme="majorBidi" w:hAnsiTheme="majorBidi" w:cstheme="majorBidi"/>
          <w:sz w:val="24"/>
          <w:szCs w:val="24"/>
        </w:rPr>
        <w:t xml:space="preserve">Between 2020 and 2022, a retrospective cohort study centered in a hospital was carried out in the Post-COVID Outpatients Clinic at Assiut University Hospitals in Egypt. </w:t>
      </w:r>
    </w:p>
    <w:p w14:paraId="42629F19" w14:textId="352648AD" w:rsidR="002D031E" w:rsidRPr="0066023D" w:rsidRDefault="00A1646B" w:rsidP="00A1646B">
      <w:pPr>
        <w:spacing w:before="120" w:after="0" w:line="360" w:lineRule="auto"/>
        <w:ind w:firstLine="720"/>
        <w:jc w:val="both"/>
        <w:rPr>
          <w:rFonts w:asciiTheme="majorBidi" w:hAnsiTheme="majorBidi" w:cstheme="majorBidi"/>
          <w:sz w:val="24"/>
          <w:szCs w:val="24"/>
        </w:rPr>
      </w:pPr>
      <w:r w:rsidRPr="00A1646B">
        <w:rPr>
          <w:rFonts w:asciiTheme="majorBidi" w:hAnsiTheme="majorBidi" w:cstheme="majorBidi"/>
          <w:sz w:val="24"/>
          <w:szCs w:val="24"/>
        </w:rPr>
        <w:t xml:space="preserve">The research was carried out in compliance with the guidelines of the Declaration of Helsinki and was authorized by the ethical committee of the Faculty of Medicine, Assiut University, Assiut, Egypt </w:t>
      </w:r>
      <w:r w:rsidRPr="00D824E3">
        <w:rPr>
          <w:rFonts w:asciiTheme="majorBidi" w:hAnsiTheme="majorBidi" w:cstheme="majorBidi"/>
          <w:color w:val="FF0000"/>
          <w:sz w:val="24"/>
          <w:szCs w:val="24"/>
        </w:rPr>
        <w:t xml:space="preserve">(IBR number </w:t>
      </w:r>
      <w:proofErr w:type="gramStart"/>
      <w:r w:rsidRPr="00D824E3">
        <w:rPr>
          <w:rFonts w:asciiTheme="majorBidi" w:hAnsiTheme="majorBidi" w:cstheme="majorBidi"/>
          <w:color w:val="FF0000"/>
          <w:sz w:val="24"/>
          <w:szCs w:val="24"/>
        </w:rPr>
        <w:t>17101541)</w:t>
      </w:r>
      <w:r w:rsidR="00D824E3">
        <w:rPr>
          <w:rFonts w:asciiTheme="majorBidi" w:hAnsiTheme="majorBidi" w:cstheme="majorBidi"/>
          <w:color w:val="FF0000"/>
          <w:sz w:val="24"/>
          <w:szCs w:val="24"/>
        </w:rPr>
        <w:t>(</w:t>
      </w:r>
      <w:proofErr w:type="gramEnd"/>
      <w:r w:rsidR="00D824E3">
        <w:rPr>
          <w:rFonts w:asciiTheme="majorBidi" w:hAnsiTheme="majorBidi" w:cstheme="majorBidi"/>
          <w:color w:val="FF0000"/>
          <w:sz w:val="24"/>
          <w:szCs w:val="24"/>
        </w:rPr>
        <w:t>revised and done)</w:t>
      </w:r>
      <w:r w:rsidRPr="00D824E3">
        <w:rPr>
          <w:rFonts w:asciiTheme="majorBidi" w:hAnsiTheme="majorBidi" w:cstheme="majorBidi"/>
          <w:color w:val="FF0000"/>
          <w:sz w:val="24"/>
          <w:szCs w:val="24"/>
        </w:rPr>
        <w:t xml:space="preserve">. </w:t>
      </w:r>
      <w:r w:rsidRPr="00A1646B">
        <w:rPr>
          <w:rFonts w:asciiTheme="majorBidi" w:hAnsiTheme="majorBidi" w:cstheme="majorBidi"/>
          <w:sz w:val="24"/>
          <w:szCs w:val="24"/>
        </w:rPr>
        <w:t>Patients gave their written, informed permission to participate in the trial</w:t>
      </w:r>
      <w:r w:rsidR="002D031E" w:rsidRPr="002D031E">
        <w:rPr>
          <w:rFonts w:asciiTheme="majorBidi" w:hAnsiTheme="majorBidi" w:cstheme="majorBidi"/>
          <w:sz w:val="24"/>
          <w:szCs w:val="24"/>
        </w:rPr>
        <w:t>.</w:t>
      </w:r>
      <w:r w:rsidR="00982007">
        <w:rPr>
          <w:rFonts w:asciiTheme="majorBidi" w:hAnsiTheme="majorBidi" w:cstheme="majorBidi"/>
          <w:sz w:val="24"/>
          <w:szCs w:val="24"/>
        </w:rPr>
        <w:t xml:space="preserve"> </w:t>
      </w:r>
    </w:p>
    <w:p w14:paraId="0E79B4EB" w14:textId="77777777" w:rsidR="0066023D" w:rsidRDefault="0066023D" w:rsidP="00AF5787">
      <w:pPr>
        <w:spacing w:before="120" w:after="0" w:line="360" w:lineRule="auto"/>
        <w:jc w:val="both"/>
        <w:rPr>
          <w:rFonts w:asciiTheme="majorBidi" w:eastAsia="Calibri" w:hAnsiTheme="majorBidi" w:cstheme="majorBidi"/>
          <w:b/>
          <w:bCs/>
          <w:i/>
          <w:iCs/>
          <w:sz w:val="24"/>
          <w:szCs w:val="24"/>
        </w:rPr>
      </w:pPr>
      <w:r>
        <w:rPr>
          <w:rFonts w:asciiTheme="majorBidi" w:eastAsia="Calibri" w:hAnsiTheme="majorBidi" w:cstheme="majorBidi"/>
          <w:b/>
          <w:bCs/>
          <w:i/>
          <w:iCs/>
          <w:sz w:val="24"/>
          <w:szCs w:val="24"/>
        </w:rPr>
        <w:t>Study population</w:t>
      </w:r>
    </w:p>
    <w:p w14:paraId="1F6914DB" w14:textId="6803AA79" w:rsidR="00850DF4" w:rsidRPr="0066023D" w:rsidRDefault="0066023D" w:rsidP="00AF5787">
      <w:pPr>
        <w:spacing w:before="120" w:after="0" w:line="360" w:lineRule="auto"/>
        <w:ind w:firstLine="720"/>
        <w:jc w:val="both"/>
        <w:rPr>
          <w:rFonts w:asciiTheme="majorBidi" w:eastAsia="Calibri" w:hAnsiTheme="majorBidi" w:cstheme="majorBidi"/>
          <w:sz w:val="24"/>
          <w:szCs w:val="24"/>
        </w:rPr>
      </w:pPr>
      <w:r>
        <w:rPr>
          <w:rFonts w:asciiTheme="majorBidi" w:eastAsia="Calibri" w:hAnsiTheme="majorBidi" w:cstheme="majorBidi"/>
          <w:sz w:val="24"/>
          <w:szCs w:val="24"/>
        </w:rPr>
        <w:t>Adult</w:t>
      </w:r>
      <w:r w:rsidR="00B811ED" w:rsidRPr="0066023D">
        <w:rPr>
          <w:rFonts w:asciiTheme="majorBidi" w:eastAsia="Calibri" w:hAnsiTheme="majorBidi" w:cstheme="majorBidi"/>
          <w:sz w:val="24"/>
          <w:szCs w:val="24"/>
        </w:rPr>
        <w:t xml:space="preserve"> patient</w:t>
      </w:r>
      <w:r>
        <w:rPr>
          <w:rFonts w:asciiTheme="majorBidi" w:eastAsia="Calibri" w:hAnsiTheme="majorBidi" w:cstheme="majorBidi"/>
          <w:sz w:val="24"/>
          <w:szCs w:val="24"/>
        </w:rPr>
        <w:t xml:space="preserve">s </w:t>
      </w:r>
      <w:r w:rsidR="00850DF4">
        <w:rPr>
          <w:rFonts w:asciiTheme="majorBidi" w:eastAsia="Calibri" w:hAnsiTheme="majorBidi" w:cstheme="majorBidi"/>
          <w:sz w:val="24"/>
          <w:szCs w:val="24"/>
        </w:rPr>
        <w:t>(with and without CLD)</w:t>
      </w:r>
      <w:r w:rsidR="00850DF4" w:rsidRPr="0066023D">
        <w:rPr>
          <w:rFonts w:asciiTheme="majorBidi" w:eastAsia="Calibri" w:hAnsiTheme="majorBidi" w:cstheme="majorBidi"/>
          <w:sz w:val="24"/>
          <w:szCs w:val="24"/>
        </w:rPr>
        <w:t xml:space="preserve"> </w:t>
      </w:r>
      <w:r w:rsidR="00B811ED" w:rsidRPr="0066023D">
        <w:rPr>
          <w:rFonts w:asciiTheme="majorBidi" w:eastAsia="Calibri" w:hAnsiTheme="majorBidi" w:cstheme="majorBidi"/>
          <w:sz w:val="24"/>
          <w:szCs w:val="24"/>
        </w:rPr>
        <w:t>with history of COVID19 infection and recovery since more than one month before the recruitment in the study w</w:t>
      </w:r>
      <w:r w:rsidR="00850DF4">
        <w:rPr>
          <w:rFonts w:asciiTheme="majorBidi" w:eastAsia="Calibri" w:hAnsiTheme="majorBidi" w:cstheme="majorBidi"/>
          <w:sz w:val="24"/>
          <w:szCs w:val="24"/>
        </w:rPr>
        <w:t>ere</w:t>
      </w:r>
      <w:r w:rsidR="00B811ED" w:rsidRPr="0066023D">
        <w:rPr>
          <w:rFonts w:asciiTheme="majorBidi" w:eastAsia="Calibri" w:hAnsiTheme="majorBidi" w:cstheme="majorBidi"/>
          <w:sz w:val="24"/>
          <w:szCs w:val="24"/>
        </w:rPr>
        <w:t xml:space="preserve"> eligible for the study. COVID19 infection was clinically, and laboratory suspected and confirmed by polymerase chain reaction (PCR). </w:t>
      </w:r>
      <w:r w:rsidR="004D7511">
        <w:rPr>
          <w:rFonts w:asciiTheme="majorBidi" w:eastAsia="Calibri" w:hAnsiTheme="majorBidi" w:cstheme="majorBidi"/>
          <w:sz w:val="24"/>
          <w:szCs w:val="24"/>
        </w:rPr>
        <w:t>Chronic liver disease (CLD) was diagnosed by clinical,</w:t>
      </w:r>
      <w:r w:rsidR="004D7511" w:rsidRPr="00850DF4">
        <w:rPr>
          <w:rFonts w:asciiTheme="majorBidi" w:eastAsia="Calibri" w:hAnsiTheme="majorBidi" w:cstheme="majorBidi"/>
          <w:sz w:val="24"/>
          <w:szCs w:val="24"/>
        </w:rPr>
        <w:t xml:space="preserve"> biochemical, and ultrasonography findings</w:t>
      </w:r>
      <w:r w:rsidR="004D7511">
        <w:rPr>
          <w:rFonts w:asciiTheme="majorBidi" w:eastAsia="Calibri" w:hAnsiTheme="majorBidi" w:cstheme="majorBidi"/>
          <w:sz w:val="24"/>
          <w:szCs w:val="24"/>
        </w:rPr>
        <w:t xml:space="preserve"> </w:t>
      </w:r>
      <w:r>
        <w:rPr>
          <w:rFonts w:asciiTheme="majorBidi" w:eastAsia="Calibri" w:hAnsiTheme="majorBidi" w:cstheme="majorBidi"/>
          <w:sz w:val="24"/>
          <w:szCs w:val="24"/>
        </w:rPr>
        <w:t>P</w:t>
      </w:r>
      <w:r w:rsidR="00B811ED" w:rsidRPr="0066023D">
        <w:rPr>
          <w:rFonts w:asciiTheme="majorBidi" w:eastAsia="Calibri" w:hAnsiTheme="majorBidi" w:cstheme="majorBidi"/>
          <w:sz w:val="24"/>
          <w:szCs w:val="24"/>
        </w:rPr>
        <w:t>atient</w:t>
      </w:r>
      <w:r>
        <w:rPr>
          <w:rFonts w:asciiTheme="majorBidi" w:eastAsia="Calibri" w:hAnsiTheme="majorBidi" w:cstheme="majorBidi"/>
          <w:sz w:val="24"/>
          <w:szCs w:val="24"/>
        </w:rPr>
        <w:t xml:space="preserve"> were</w:t>
      </w:r>
      <w:r w:rsidR="00B811ED" w:rsidRPr="0066023D">
        <w:rPr>
          <w:rFonts w:asciiTheme="majorBidi" w:eastAsia="Calibri" w:hAnsiTheme="majorBidi" w:cstheme="majorBidi"/>
          <w:sz w:val="24"/>
          <w:szCs w:val="24"/>
        </w:rPr>
        <w:t xml:space="preserve"> less than 18 years old</w:t>
      </w:r>
      <w:r>
        <w:rPr>
          <w:rFonts w:asciiTheme="majorBidi" w:eastAsia="Calibri" w:hAnsiTheme="majorBidi" w:cstheme="majorBidi"/>
          <w:sz w:val="24"/>
          <w:szCs w:val="24"/>
        </w:rPr>
        <w:t xml:space="preserve">, </w:t>
      </w:r>
      <w:r w:rsidR="00B811ED" w:rsidRPr="0066023D">
        <w:rPr>
          <w:rFonts w:asciiTheme="majorBidi" w:eastAsia="Calibri" w:hAnsiTheme="majorBidi" w:cstheme="majorBidi"/>
          <w:sz w:val="24"/>
          <w:szCs w:val="24"/>
        </w:rPr>
        <w:t xml:space="preserve">with concurrent COVID19 infection that </w:t>
      </w:r>
      <w:proofErr w:type="gramStart"/>
      <w:r w:rsidR="00B811ED" w:rsidRPr="0066023D">
        <w:rPr>
          <w:rFonts w:asciiTheme="majorBidi" w:eastAsia="Calibri" w:hAnsiTheme="majorBidi" w:cstheme="majorBidi"/>
          <w:sz w:val="24"/>
          <w:szCs w:val="24"/>
        </w:rPr>
        <w:t>wasn‘</w:t>
      </w:r>
      <w:proofErr w:type="gramEnd"/>
      <w:r w:rsidR="00B811ED" w:rsidRPr="0066023D">
        <w:rPr>
          <w:rFonts w:asciiTheme="majorBidi" w:eastAsia="Calibri" w:hAnsiTheme="majorBidi" w:cstheme="majorBidi"/>
          <w:sz w:val="24"/>
          <w:szCs w:val="24"/>
        </w:rPr>
        <w:t>t completely recovered</w:t>
      </w:r>
      <w:r>
        <w:rPr>
          <w:rFonts w:asciiTheme="majorBidi" w:eastAsia="Calibri" w:hAnsiTheme="majorBidi" w:cstheme="majorBidi"/>
          <w:sz w:val="24"/>
          <w:szCs w:val="24"/>
        </w:rPr>
        <w:t xml:space="preserve"> were excluded from the study.</w:t>
      </w:r>
    </w:p>
    <w:p w14:paraId="460F2994" w14:textId="75210FD8" w:rsidR="00815076" w:rsidRPr="0066023D" w:rsidRDefault="00815076" w:rsidP="00AF5787">
      <w:pPr>
        <w:spacing w:before="120" w:after="0" w:line="360" w:lineRule="auto"/>
        <w:jc w:val="both"/>
        <w:rPr>
          <w:rFonts w:asciiTheme="majorBidi" w:eastAsia="Calibri" w:hAnsiTheme="majorBidi" w:cstheme="majorBidi"/>
          <w:sz w:val="24"/>
          <w:szCs w:val="24"/>
        </w:rPr>
      </w:pPr>
      <w:r w:rsidRPr="0066023D">
        <w:rPr>
          <w:rFonts w:asciiTheme="majorBidi" w:eastAsia="Calibri" w:hAnsiTheme="majorBidi" w:cstheme="majorBidi"/>
          <w:b/>
          <w:bCs/>
          <w:i/>
          <w:iCs/>
          <w:sz w:val="24"/>
          <w:szCs w:val="24"/>
        </w:rPr>
        <w:lastRenderedPageBreak/>
        <w:t>Sample size calculation</w:t>
      </w:r>
      <w:r w:rsidRPr="0066023D">
        <w:rPr>
          <w:rFonts w:asciiTheme="majorBidi" w:eastAsia="Calibri" w:hAnsiTheme="majorBidi" w:cstheme="majorBidi"/>
          <w:sz w:val="24"/>
          <w:szCs w:val="24"/>
        </w:rPr>
        <w:t xml:space="preserve"> </w:t>
      </w:r>
    </w:p>
    <w:p w14:paraId="1069CFF3" w14:textId="5201E78E" w:rsidR="00B811ED" w:rsidRPr="00A1646B" w:rsidRDefault="00B811ED" w:rsidP="00A1646B">
      <w:pPr>
        <w:spacing w:before="120" w:after="0" w:line="360" w:lineRule="auto"/>
        <w:ind w:firstLine="720"/>
        <w:jc w:val="both"/>
        <w:rPr>
          <w:rFonts w:asciiTheme="majorBidi" w:hAnsiTheme="majorBidi" w:cstheme="majorBidi"/>
          <w:sz w:val="24"/>
          <w:szCs w:val="24"/>
        </w:rPr>
      </w:pPr>
      <w:r w:rsidRPr="0066023D">
        <w:rPr>
          <w:rFonts w:asciiTheme="majorBidi" w:hAnsiTheme="majorBidi" w:cstheme="majorBidi"/>
          <w:sz w:val="24"/>
          <w:szCs w:val="24"/>
        </w:rPr>
        <w:t xml:space="preserve">Based on expected frequency of hepatic affection among recovered COVID19 patients that was 15.8% with assumption of 5% alpha error, 90% power and 95% confidence interval </w:t>
      </w:r>
      <w:r w:rsidRPr="0066023D">
        <w:rPr>
          <w:rFonts w:asciiTheme="majorBidi" w:eastAsia="Calibri" w:hAnsiTheme="majorBidi" w:cstheme="majorBidi"/>
          <w:sz w:val="24"/>
          <w:szCs w:val="24"/>
        </w:rPr>
        <w:t>p value was significant if &lt;0.05.</w:t>
      </w:r>
      <w:r w:rsidR="00850DF4">
        <w:rPr>
          <w:rFonts w:asciiTheme="majorBidi" w:hAnsiTheme="majorBidi" w:cstheme="majorBidi"/>
          <w:sz w:val="24"/>
          <w:szCs w:val="24"/>
        </w:rPr>
        <w:t xml:space="preserve"> </w:t>
      </w:r>
      <w:r w:rsidRPr="0066023D">
        <w:rPr>
          <w:rFonts w:asciiTheme="majorBidi" w:hAnsiTheme="majorBidi" w:cstheme="majorBidi"/>
          <w:sz w:val="24"/>
          <w:szCs w:val="24"/>
        </w:rPr>
        <w:t xml:space="preserve">A minimum of 65 patients was required. </w:t>
      </w:r>
      <w:r w:rsidR="00A1646B" w:rsidRPr="00A1646B">
        <w:rPr>
          <w:rFonts w:asciiTheme="majorBidi" w:hAnsiTheme="majorBidi" w:cstheme="majorBidi"/>
          <w:sz w:val="24"/>
          <w:szCs w:val="24"/>
        </w:rPr>
        <w:t>During the course of the trial, 100 patients in all were enrolled</w:t>
      </w:r>
      <w:r w:rsidRPr="0066023D">
        <w:rPr>
          <w:rFonts w:asciiTheme="majorBidi" w:hAnsiTheme="majorBidi" w:cstheme="majorBidi"/>
          <w:sz w:val="24"/>
          <w:szCs w:val="24"/>
        </w:rPr>
        <w:t>.</w:t>
      </w:r>
    </w:p>
    <w:p w14:paraId="72535C27" w14:textId="77777777" w:rsidR="004479D5" w:rsidRPr="0066023D" w:rsidRDefault="004479D5" w:rsidP="00AF5787">
      <w:pPr>
        <w:spacing w:before="120" w:after="0" w:line="360" w:lineRule="auto"/>
        <w:jc w:val="both"/>
        <w:rPr>
          <w:rFonts w:asciiTheme="majorBidi" w:eastAsia="Calibri" w:hAnsiTheme="majorBidi" w:cstheme="majorBidi"/>
          <w:b/>
          <w:bCs/>
          <w:i/>
          <w:iCs/>
          <w:sz w:val="24"/>
          <w:szCs w:val="24"/>
        </w:rPr>
      </w:pPr>
      <w:r w:rsidRPr="0066023D">
        <w:rPr>
          <w:rFonts w:asciiTheme="majorBidi" w:eastAsia="Calibri" w:hAnsiTheme="majorBidi" w:cstheme="majorBidi"/>
          <w:b/>
          <w:bCs/>
          <w:i/>
          <w:iCs/>
          <w:sz w:val="24"/>
          <w:szCs w:val="24"/>
        </w:rPr>
        <w:t>Participants</w:t>
      </w:r>
      <w:r w:rsidR="0049347F" w:rsidRPr="0066023D">
        <w:rPr>
          <w:rFonts w:asciiTheme="majorBidi" w:eastAsia="Calibri" w:hAnsiTheme="majorBidi" w:cstheme="majorBidi"/>
          <w:b/>
          <w:bCs/>
          <w:i/>
          <w:iCs/>
          <w:sz w:val="24"/>
          <w:szCs w:val="24"/>
        </w:rPr>
        <w:t xml:space="preserve"> and study tools</w:t>
      </w:r>
    </w:p>
    <w:p w14:paraId="51FC9389" w14:textId="31D7759D" w:rsidR="00AE5FBE" w:rsidRDefault="00B068AB" w:rsidP="003B5ACE">
      <w:pPr>
        <w:spacing w:before="120" w:after="0" w:line="360" w:lineRule="auto"/>
        <w:ind w:firstLine="720"/>
        <w:jc w:val="both"/>
        <w:rPr>
          <w:rFonts w:asciiTheme="majorBidi" w:eastAsia="Calibri" w:hAnsiTheme="majorBidi" w:cstheme="majorBidi"/>
          <w:sz w:val="24"/>
          <w:szCs w:val="24"/>
        </w:rPr>
      </w:pPr>
      <w:r w:rsidRPr="0066023D">
        <w:rPr>
          <w:rFonts w:asciiTheme="majorBidi" w:eastAsia="Calibri" w:hAnsiTheme="majorBidi" w:cstheme="majorBidi"/>
          <w:sz w:val="24"/>
          <w:szCs w:val="24"/>
          <w:lang w:bidi="ar-EG"/>
        </w:rPr>
        <w:t xml:space="preserve">The current study enrolled a total of </w:t>
      </w:r>
      <w:r w:rsidR="00B811ED" w:rsidRPr="0066023D">
        <w:rPr>
          <w:rFonts w:asciiTheme="majorBidi" w:eastAsia="Calibri" w:hAnsiTheme="majorBidi" w:cstheme="majorBidi"/>
          <w:sz w:val="24"/>
          <w:szCs w:val="24"/>
          <w:lang w:bidi="ar-EG"/>
        </w:rPr>
        <w:t>1</w:t>
      </w:r>
      <w:r w:rsidRPr="0066023D">
        <w:rPr>
          <w:rFonts w:asciiTheme="majorBidi" w:eastAsia="Calibri" w:hAnsiTheme="majorBidi" w:cstheme="majorBidi"/>
          <w:sz w:val="24"/>
          <w:szCs w:val="24"/>
          <w:lang w:bidi="ar-EG"/>
        </w:rPr>
        <w:t>00 patients</w:t>
      </w:r>
      <w:r w:rsidR="00850DF4">
        <w:rPr>
          <w:rFonts w:asciiTheme="majorBidi" w:eastAsia="Calibri" w:hAnsiTheme="majorBidi" w:cstheme="majorBidi"/>
          <w:sz w:val="24"/>
          <w:szCs w:val="24"/>
          <w:lang w:bidi="ar-EG"/>
        </w:rPr>
        <w:t>; 70 CLD patients and 30 non-CLD patients</w:t>
      </w:r>
      <w:r w:rsidR="004D571F">
        <w:rPr>
          <w:rFonts w:asciiTheme="majorBidi" w:eastAsia="Calibri" w:hAnsiTheme="majorBidi" w:cstheme="majorBidi"/>
          <w:sz w:val="24"/>
          <w:szCs w:val="24"/>
          <w:lang w:bidi="ar-EG"/>
        </w:rPr>
        <w:t>,</w:t>
      </w:r>
      <w:r w:rsidRPr="0066023D">
        <w:rPr>
          <w:rFonts w:asciiTheme="majorBidi" w:eastAsia="Calibri" w:hAnsiTheme="majorBidi" w:cstheme="majorBidi"/>
          <w:sz w:val="24"/>
          <w:szCs w:val="24"/>
          <w:lang w:bidi="ar-EG"/>
        </w:rPr>
        <w:t xml:space="preserve"> who </w:t>
      </w:r>
      <w:r w:rsidR="00B811ED" w:rsidRPr="0066023D">
        <w:rPr>
          <w:rFonts w:asciiTheme="majorBidi" w:eastAsia="Calibri" w:hAnsiTheme="majorBidi" w:cstheme="majorBidi"/>
          <w:sz w:val="24"/>
          <w:szCs w:val="24"/>
          <w:lang w:bidi="ar-EG"/>
        </w:rPr>
        <w:t>ha</w:t>
      </w:r>
      <w:r w:rsidR="004D571F">
        <w:rPr>
          <w:rFonts w:asciiTheme="majorBidi" w:eastAsia="Calibri" w:hAnsiTheme="majorBidi" w:cstheme="majorBidi"/>
          <w:sz w:val="24"/>
          <w:szCs w:val="24"/>
          <w:lang w:bidi="ar-EG"/>
        </w:rPr>
        <w:t>d</w:t>
      </w:r>
      <w:r w:rsidR="00B811ED" w:rsidRPr="0066023D">
        <w:rPr>
          <w:rFonts w:asciiTheme="majorBidi" w:eastAsia="Calibri" w:hAnsiTheme="majorBidi" w:cstheme="majorBidi"/>
          <w:sz w:val="24"/>
          <w:szCs w:val="24"/>
          <w:lang w:bidi="ar-EG"/>
        </w:rPr>
        <w:t xml:space="preserve"> a</w:t>
      </w:r>
      <w:r w:rsidR="00B811ED" w:rsidRPr="0066023D">
        <w:rPr>
          <w:rFonts w:asciiTheme="majorBidi" w:hAnsiTheme="majorBidi" w:cstheme="majorBidi"/>
          <w:sz w:val="24"/>
          <w:szCs w:val="24"/>
        </w:rPr>
        <w:t xml:space="preserve"> history of COVID19 infection and recovery since more than one month before the recruitment in the study.</w:t>
      </w:r>
      <w:r w:rsidR="003B5ACE" w:rsidRPr="003B5ACE">
        <w:rPr>
          <w:rFonts w:asciiTheme="majorBidi" w:hAnsiTheme="majorBidi" w:cstheme="majorBidi"/>
          <w:sz w:val="24"/>
          <w:szCs w:val="24"/>
        </w:rPr>
        <w:t xml:space="preserve"> </w:t>
      </w:r>
      <w:r w:rsidR="003B5ACE" w:rsidRPr="003B5ACE">
        <w:rPr>
          <w:rFonts w:asciiTheme="majorBidi" w:hAnsiTheme="majorBidi" w:cstheme="majorBidi"/>
          <w:sz w:val="24"/>
          <w:szCs w:val="24"/>
          <w:highlight w:val="yellow"/>
        </w:rPr>
        <w:t>Only patients with CLD who were admitted to hospital, others not admitted.</w:t>
      </w:r>
      <w:r w:rsidR="003B5ACE" w:rsidRPr="003B5ACE">
        <w:rPr>
          <w:rFonts w:asciiTheme="majorBidi" w:hAnsiTheme="majorBidi" w:cstheme="majorBidi"/>
          <w:sz w:val="24"/>
          <w:szCs w:val="24"/>
        </w:rPr>
        <w:t xml:space="preserve"> </w:t>
      </w:r>
      <w:r w:rsidR="003C383C" w:rsidRPr="0066023D">
        <w:rPr>
          <w:rFonts w:asciiTheme="majorBidi" w:eastAsia="Calibri" w:hAnsiTheme="majorBidi" w:cstheme="majorBidi"/>
          <w:sz w:val="24"/>
          <w:szCs w:val="24"/>
        </w:rPr>
        <w:t xml:space="preserve">The medical records of those patients </w:t>
      </w:r>
      <w:r w:rsidR="00966E83">
        <w:rPr>
          <w:rFonts w:asciiTheme="majorBidi" w:eastAsia="Calibri" w:hAnsiTheme="majorBidi" w:cstheme="majorBidi"/>
          <w:sz w:val="24"/>
          <w:szCs w:val="24"/>
        </w:rPr>
        <w:t xml:space="preserve">(during the course of COVID 19 disease and follow-up after recovery) </w:t>
      </w:r>
      <w:r w:rsidR="003C383C" w:rsidRPr="0066023D">
        <w:rPr>
          <w:rFonts w:asciiTheme="majorBidi" w:eastAsia="Calibri" w:hAnsiTheme="majorBidi" w:cstheme="majorBidi"/>
          <w:sz w:val="24"/>
          <w:szCs w:val="24"/>
        </w:rPr>
        <w:t>were reviewed and the following data were gathered;</w:t>
      </w:r>
      <w:r w:rsidR="004D571F">
        <w:rPr>
          <w:rFonts w:asciiTheme="majorBidi" w:hAnsiTheme="majorBidi" w:cstheme="majorBidi"/>
          <w:sz w:val="24"/>
          <w:szCs w:val="24"/>
        </w:rPr>
        <w:t xml:space="preserve"> t</w:t>
      </w:r>
      <w:r w:rsidR="00AE5FBE" w:rsidRPr="004D571F">
        <w:rPr>
          <w:rFonts w:asciiTheme="majorBidi" w:hAnsiTheme="majorBidi" w:cstheme="majorBidi"/>
          <w:sz w:val="24"/>
          <w:szCs w:val="24"/>
        </w:rPr>
        <w:t xml:space="preserve">horough history taking </w:t>
      </w:r>
      <w:r w:rsidR="004D571F" w:rsidRPr="004D571F">
        <w:rPr>
          <w:rFonts w:asciiTheme="majorBidi" w:hAnsiTheme="majorBidi" w:cstheme="majorBidi"/>
          <w:sz w:val="24"/>
          <w:szCs w:val="24"/>
        </w:rPr>
        <w:t xml:space="preserve">including </w:t>
      </w:r>
      <w:r w:rsidR="00AE5FBE" w:rsidRPr="004D571F">
        <w:rPr>
          <w:rFonts w:asciiTheme="majorBidi" w:hAnsiTheme="majorBidi" w:cstheme="majorBidi"/>
          <w:sz w:val="24"/>
          <w:szCs w:val="24"/>
        </w:rPr>
        <w:t>age, sex, comorbidities, duration of the</w:t>
      </w:r>
      <w:r w:rsidR="004D571F" w:rsidRPr="004D571F">
        <w:rPr>
          <w:rFonts w:asciiTheme="majorBidi" w:hAnsiTheme="majorBidi" w:cstheme="majorBidi"/>
          <w:sz w:val="24"/>
          <w:szCs w:val="24"/>
        </w:rPr>
        <w:t xml:space="preserve"> infection, </w:t>
      </w:r>
      <w:r w:rsidR="00A1646B" w:rsidRPr="00A1646B">
        <w:rPr>
          <w:rFonts w:asciiTheme="majorBidi" w:eastAsia="Calibri" w:hAnsiTheme="majorBidi" w:cstheme="majorBidi"/>
          <w:sz w:val="24"/>
          <w:szCs w:val="24"/>
        </w:rPr>
        <w:t>duration of hospital stay</w:t>
      </w:r>
      <w:r w:rsidR="003C5F2B">
        <w:rPr>
          <w:rFonts w:asciiTheme="majorBidi" w:eastAsia="Calibri" w:hAnsiTheme="majorBidi" w:cstheme="majorBidi"/>
          <w:sz w:val="24"/>
          <w:szCs w:val="24"/>
        </w:rPr>
        <w:t>,</w:t>
      </w:r>
      <w:r w:rsidR="003C5F2B" w:rsidRPr="0066023D">
        <w:rPr>
          <w:rFonts w:asciiTheme="majorBidi" w:eastAsia="Calibri" w:hAnsiTheme="majorBidi" w:cstheme="majorBidi"/>
          <w:sz w:val="24"/>
          <w:szCs w:val="24"/>
        </w:rPr>
        <w:t xml:space="preserve"> a</w:t>
      </w:r>
      <w:r w:rsidR="003C5F2B">
        <w:rPr>
          <w:rFonts w:asciiTheme="majorBidi" w:eastAsia="Calibri" w:hAnsiTheme="majorBidi" w:cstheme="majorBidi"/>
          <w:sz w:val="24"/>
          <w:szCs w:val="24"/>
        </w:rPr>
        <w:t xml:space="preserve">dmission to intensive care unit (ICU), </w:t>
      </w:r>
      <w:r w:rsidR="00AE5FBE" w:rsidRPr="004D571F">
        <w:rPr>
          <w:rFonts w:asciiTheme="majorBidi" w:eastAsia="Calibri" w:hAnsiTheme="majorBidi" w:cstheme="majorBidi"/>
          <w:sz w:val="24"/>
          <w:szCs w:val="24"/>
        </w:rPr>
        <w:t>fe</w:t>
      </w:r>
      <w:r w:rsidR="004D571F">
        <w:rPr>
          <w:rFonts w:asciiTheme="majorBidi" w:eastAsia="Calibri" w:hAnsiTheme="majorBidi" w:cstheme="majorBidi"/>
          <w:sz w:val="24"/>
          <w:szCs w:val="24"/>
        </w:rPr>
        <w:t xml:space="preserve">ver, diarrhea, dyspnea, cough, </w:t>
      </w:r>
      <w:r w:rsidR="00A753B6">
        <w:rPr>
          <w:rFonts w:asciiTheme="majorBidi" w:eastAsia="Calibri" w:hAnsiTheme="majorBidi" w:cstheme="majorBidi"/>
          <w:sz w:val="24"/>
          <w:szCs w:val="24"/>
        </w:rPr>
        <w:t xml:space="preserve">jaundice, </w:t>
      </w:r>
      <w:r w:rsidR="004D571F">
        <w:rPr>
          <w:rFonts w:asciiTheme="majorBidi" w:eastAsia="Calibri" w:hAnsiTheme="majorBidi" w:cstheme="majorBidi"/>
          <w:sz w:val="24"/>
          <w:szCs w:val="24"/>
        </w:rPr>
        <w:t>and other clinical data</w:t>
      </w:r>
      <w:r w:rsidR="00AE5FBE" w:rsidRPr="004D571F">
        <w:rPr>
          <w:rFonts w:asciiTheme="majorBidi" w:eastAsia="Calibri" w:hAnsiTheme="majorBidi" w:cstheme="majorBidi"/>
          <w:sz w:val="24"/>
          <w:szCs w:val="24"/>
        </w:rPr>
        <w:t>.</w:t>
      </w:r>
      <w:r w:rsidR="003B5ACE">
        <w:rPr>
          <w:rFonts w:asciiTheme="majorBidi" w:eastAsia="Calibri" w:hAnsiTheme="majorBidi" w:cstheme="majorBidi"/>
          <w:sz w:val="24"/>
          <w:szCs w:val="24"/>
        </w:rPr>
        <w:t xml:space="preserve"> </w:t>
      </w:r>
      <w:r w:rsidR="00AE5FBE" w:rsidRPr="0066023D">
        <w:rPr>
          <w:rFonts w:asciiTheme="majorBidi" w:eastAsia="Calibri" w:hAnsiTheme="majorBidi" w:cstheme="majorBidi"/>
          <w:sz w:val="24"/>
          <w:szCs w:val="24"/>
        </w:rPr>
        <w:t>Laboratory data</w:t>
      </w:r>
      <w:r w:rsidR="00966E83">
        <w:rPr>
          <w:rFonts w:asciiTheme="majorBidi" w:eastAsia="Calibri" w:hAnsiTheme="majorBidi" w:cstheme="majorBidi"/>
          <w:sz w:val="24"/>
          <w:szCs w:val="24"/>
        </w:rPr>
        <w:t xml:space="preserve"> </w:t>
      </w:r>
      <w:r w:rsidR="004D571F">
        <w:rPr>
          <w:rFonts w:asciiTheme="majorBidi" w:eastAsia="Calibri" w:hAnsiTheme="majorBidi" w:cstheme="majorBidi"/>
          <w:sz w:val="24"/>
          <w:szCs w:val="24"/>
        </w:rPr>
        <w:t xml:space="preserve">included </w:t>
      </w:r>
      <w:r w:rsidR="00AE5FBE" w:rsidRPr="0066023D">
        <w:rPr>
          <w:rFonts w:asciiTheme="majorBidi" w:eastAsia="Calibri" w:hAnsiTheme="majorBidi" w:cstheme="majorBidi"/>
          <w:sz w:val="24"/>
          <w:szCs w:val="24"/>
        </w:rPr>
        <w:t xml:space="preserve">liver transaminases, </w:t>
      </w:r>
      <w:r w:rsidR="004D571F">
        <w:rPr>
          <w:rFonts w:asciiTheme="majorBidi" w:eastAsia="Calibri" w:hAnsiTheme="majorBidi" w:cstheme="majorBidi"/>
          <w:sz w:val="24"/>
          <w:szCs w:val="24"/>
        </w:rPr>
        <w:t xml:space="preserve">serum </w:t>
      </w:r>
      <w:r w:rsidR="00AE5FBE" w:rsidRPr="0066023D">
        <w:rPr>
          <w:rFonts w:asciiTheme="majorBidi" w:eastAsia="Calibri" w:hAnsiTheme="majorBidi" w:cstheme="majorBidi"/>
          <w:sz w:val="24"/>
          <w:szCs w:val="24"/>
        </w:rPr>
        <w:t xml:space="preserve">bilirubin, albumin, </w:t>
      </w:r>
      <w:r w:rsidR="004D571F">
        <w:rPr>
          <w:rFonts w:asciiTheme="majorBidi" w:eastAsia="Calibri" w:hAnsiTheme="majorBidi" w:cstheme="majorBidi"/>
          <w:sz w:val="24"/>
          <w:szCs w:val="24"/>
        </w:rPr>
        <w:t>creatinine</w:t>
      </w:r>
      <w:r w:rsidR="00AE5FBE" w:rsidRPr="0066023D">
        <w:rPr>
          <w:rFonts w:asciiTheme="majorBidi" w:eastAsia="Calibri" w:hAnsiTheme="majorBidi" w:cstheme="majorBidi"/>
          <w:sz w:val="24"/>
          <w:szCs w:val="24"/>
        </w:rPr>
        <w:t>, complete blood count (hemoglobin, leucoc</w:t>
      </w:r>
      <w:r w:rsidR="004D571F">
        <w:rPr>
          <w:rFonts w:asciiTheme="majorBidi" w:eastAsia="Calibri" w:hAnsiTheme="majorBidi" w:cstheme="majorBidi"/>
          <w:sz w:val="24"/>
          <w:szCs w:val="24"/>
        </w:rPr>
        <w:t>ytes, lymphocytes, and platelet</w:t>
      </w:r>
      <w:r w:rsidR="00AE5FBE" w:rsidRPr="0066023D">
        <w:rPr>
          <w:rFonts w:asciiTheme="majorBidi" w:eastAsia="Calibri" w:hAnsiTheme="majorBidi" w:cstheme="majorBidi"/>
          <w:sz w:val="24"/>
          <w:szCs w:val="24"/>
        </w:rPr>
        <w:t>),</w:t>
      </w:r>
      <w:r w:rsidR="004D571F">
        <w:rPr>
          <w:rFonts w:asciiTheme="majorBidi" w:eastAsia="Calibri" w:hAnsiTheme="majorBidi" w:cstheme="majorBidi"/>
          <w:sz w:val="24"/>
          <w:szCs w:val="24"/>
        </w:rPr>
        <w:t xml:space="preserve"> and international randomized ratio (INR)</w:t>
      </w:r>
      <w:r w:rsidR="00AE5FBE" w:rsidRPr="0066023D">
        <w:rPr>
          <w:rFonts w:asciiTheme="majorBidi" w:eastAsia="Calibri" w:hAnsiTheme="majorBidi" w:cstheme="majorBidi"/>
          <w:sz w:val="24"/>
          <w:szCs w:val="24"/>
        </w:rPr>
        <w:t>.</w:t>
      </w:r>
      <w:r w:rsidR="004D571F">
        <w:rPr>
          <w:rFonts w:asciiTheme="majorBidi" w:eastAsia="Calibri" w:hAnsiTheme="majorBidi" w:cstheme="majorBidi"/>
          <w:sz w:val="24"/>
          <w:szCs w:val="24"/>
        </w:rPr>
        <w:t xml:space="preserve"> </w:t>
      </w:r>
      <w:r w:rsidR="00AE5FBE" w:rsidRPr="0066023D">
        <w:rPr>
          <w:rFonts w:asciiTheme="majorBidi" w:eastAsia="Calibri" w:hAnsiTheme="majorBidi" w:cstheme="majorBidi"/>
          <w:sz w:val="24"/>
          <w:szCs w:val="24"/>
        </w:rPr>
        <w:t>Different regimens used for management of COVID19 infection (antibiotics, oxygen therapy, vitamins and/or supportive treatment)</w:t>
      </w:r>
      <w:r w:rsidR="004D571F">
        <w:rPr>
          <w:rFonts w:asciiTheme="majorBidi" w:eastAsia="Calibri" w:hAnsiTheme="majorBidi" w:cstheme="majorBidi"/>
          <w:sz w:val="24"/>
          <w:szCs w:val="24"/>
        </w:rPr>
        <w:t xml:space="preserve"> were recorded</w:t>
      </w:r>
      <w:r w:rsidR="00AE5FBE" w:rsidRPr="0066023D">
        <w:rPr>
          <w:rFonts w:asciiTheme="majorBidi" w:eastAsia="Calibri" w:hAnsiTheme="majorBidi" w:cstheme="majorBidi"/>
          <w:sz w:val="24"/>
          <w:szCs w:val="24"/>
        </w:rPr>
        <w:t>.</w:t>
      </w:r>
      <w:r w:rsidR="004D571F">
        <w:rPr>
          <w:rFonts w:asciiTheme="majorBidi" w:eastAsia="Calibri" w:hAnsiTheme="majorBidi" w:cstheme="majorBidi"/>
          <w:sz w:val="24"/>
          <w:szCs w:val="24"/>
        </w:rPr>
        <w:t xml:space="preserve"> </w:t>
      </w:r>
    </w:p>
    <w:p w14:paraId="31C7CD0C" w14:textId="5523AD48" w:rsidR="003B5ACE" w:rsidRPr="002F1AF5" w:rsidRDefault="003B5ACE" w:rsidP="003B5ACE">
      <w:pPr>
        <w:spacing w:before="120" w:after="0" w:line="360" w:lineRule="auto"/>
        <w:ind w:firstLine="720"/>
        <w:jc w:val="both"/>
        <w:rPr>
          <w:rFonts w:asciiTheme="majorBidi" w:eastAsia="Calibri" w:hAnsiTheme="majorBidi" w:cstheme="majorBidi"/>
          <w:sz w:val="24"/>
          <w:szCs w:val="24"/>
          <w:highlight w:val="yellow"/>
        </w:rPr>
      </w:pPr>
      <w:r w:rsidRPr="002F1AF5">
        <w:rPr>
          <w:rFonts w:asciiTheme="majorBidi" w:eastAsia="Calibri" w:hAnsiTheme="majorBidi" w:cstheme="majorBidi"/>
          <w:sz w:val="24"/>
          <w:szCs w:val="24"/>
          <w:highlight w:val="yellow"/>
        </w:rPr>
        <w:t>Chronic liver disease</w:t>
      </w:r>
      <w:r w:rsidR="002F1AF5">
        <w:rPr>
          <w:rFonts w:asciiTheme="majorBidi" w:eastAsia="Calibri" w:hAnsiTheme="majorBidi" w:cstheme="majorBidi"/>
          <w:sz w:val="24"/>
          <w:szCs w:val="24"/>
          <w:highlight w:val="yellow"/>
        </w:rPr>
        <w:t xml:space="preserve"> </w:t>
      </w:r>
      <w:r w:rsidRPr="002F1AF5">
        <w:rPr>
          <w:rFonts w:asciiTheme="majorBidi" w:eastAsia="Calibri" w:hAnsiTheme="majorBidi" w:cstheme="majorBidi"/>
          <w:sz w:val="24"/>
          <w:szCs w:val="24"/>
          <w:highlight w:val="yellow"/>
        </w:rPr>
        <w:t>(CLD)</w:t>
      </w:r>
      <w:r w:rsidR="002F1AF5">
        <w:rPr>
          <w:rFonts w:asciiTheme="majorBidi" w:eastAsia="Calibri" w:hAnsiTheme="majorBidi" w:cstheme="majorBidi"/>
          <w:sz w:val="24"/>
          <w:szCs w:val="24"/>
          <w:highlight w:val="yellow"/>
        </w:rPr>
        <w:t xml:space="preserve"> </w:t>
      </w:r>
      <w:r w:rsidRPr="002F1AF5">
        <w:rPr>
          <w:rFonts w:asciiTheme="majorBidi" w:eastAsia="Calibri" w:hAnsiTheme="majorBidi" w:cstheme="majorBidi"/>
          <w:sz w:val="24"/>
          <w:szCs w:val="24"/>
          <w:highlight w:val="yellow"/>
        </w:rPr>
        <w:t>included:</w:t>
      </w:r>
    </w:p>
    <w:p w14:paraId="010B018D" w14:textId="77777777" w:rsidR="003B5ACE" w:rsidRPr="002F1AF5" w:rsidRDefault="003B5ACE" w:rsidP="003B5ACE">
      <w:pPr>
        <w:spacing w:before="120" w:after="0" w:line="360" w:lineRule="auto"/>
        <w:ind w:firstLine="720"/>
        <w:jc w:val="both"/>
        <w:rPr>
          <w:rFonts w:asciiTheme="majorBidi" w:hAnsiTheme="majorBidi" w:cstheme="majorBidi"/>
          <w:sz w:val="24"/>
          <w:szCs w:val="24"/>
          <w:highlight w:val="yellow"/>
        </w:rPr>
      </w:pPr>
      <w:r w:rsidRPr="002F1AF5">
        <w:rPr>
          <w:rFonts w:asciiTheme="majorBidi" w:hAnsiTheme="majorBidi" w:cstheme="majorBidi"/>
          <w:sz w:val="24"/>
          <w:szCs w:val="24"/>
          <w:highlight w:val="yellow"/>
        </w:rPr>
        <w:t></w:t>
      </w:r>
      <w:r w:rsidRPr="002F1AF5">
        <w:rPr>
          <w:rFonts w:asciiTheme="majorBidi" w:hAnsiTheme="majorBidi" w:cstheme="majorBidi"/>
          <w:sz w:val="24"/>
          <w:szCs w:val="24"/>
          <w:highlight w:val="yellow"/>
        </w:rPr>
        <w:tab/>
        <w:t xml:space="preserve">Chronic hepatitis B, C, and D infections are the most common causes of chronic liver disease. </w:t>
      </w:r>
    </w:p>
    <w:p w14:paraId="1E47378C" w14:textId="77777777" w:rsidR="003B5ACE" w:rsidRPr="002F1AF5" w:rsidRDefault="003B5ACE" w:rsidP="003B5ACE">
      <w:pPr>
        <w:spacing w:before="120" w:after="0" w:line="360" w:lineRule="auto"/>
        <w:ind w:firstLine="720"/>
        <w:jc w:val="both"/>
        <w:rPr>
          <w:rFonts w:asciiTheme="majorBidi" w:hAnsiTheme="majorBidi" w:cstheme="majorBidi"/>
          <w:sz w:val="24"/>
          <w:szCs w:val="24"/>
          <w:highlight w:val="yellow"/>
        </w:rPr>
      </w:pPr>
      <w:r w:rsidRPr="002F1AF5">
        <w:rPr>
          <w:rFonts w:asciiTheme="majorBidi" w:hAnsiTheme="majorBidi" w:cstheme="majorBidi"/>
          <w:sz w:val="24"/>
          <w:szCs w:val="24"/>
          <w:highlight w:val="yellow"/>
        </w:rPr>
        <w:t></w:t>
      </w:r>
      <w:r w:rsidRPr="002F1AF5">
        <w:rPr>
          <w:rFonts w:asciiTheme="majorBidi" w:hAnsiTheme="majorBidi" w:cstheme="majorBidi"/>
          <w:sz w:val="24"/>
          <w:szCs w:val="24"/>
          <w:highlight w:val="yellow"/>
        </w:rPr>
        <w:tab/>
        <w:t>Autoimmune liver disease (autoimmune hepatitis, primary biliary cirrhosis, primary sclerosing cholangitis).</w:t>
      </w:r>
    </w:p>
    <w:p w14:paraId="2D2AA79D" w14:textId="77777777" w:rsidR="003B5ACE" w:rsidRPr="002F1AF5" w:rsidRDefault="003B5ACE" w:rsidP="003B5ACE">
      <w:pPr>
        <w:spacing w:before="120" w:after="0" w:line="360" w:lineRule="auto"/>
        <w:ind w:firstLine="720"/>
        <w:jc w:val="both"/>
        <w:rPr>
          <w:rFonts w:asciiTheme="majorBidi" w:hAnsiTheme="majorBidi" w:cstheme="majorBidi"/>
          <w:sz w:val="24"/>
          <w:szCs w:val="24"/>
          <w:highlight w:val="yellow"/>
        </w:rPr>
      </w:pPr>
      <w:r w:rsidRPr="002F1AF5">
        <w:rPr>
          <w:rFonts w:asciiTheme="majorBidi" w:hAnsiTheme="majorBidi" w:cstheme="majorBidi"/>
          <w:sz w:val="24"/>
          <w:szCs w:val="24"/>
          <w:highlight w:val="yellow"/>
        </w:rPr>
        <w:t></w:t>
      </w:r>
      <w:r w:rsidRPr="002F1AF5">
        <w:rPr>
          <w:rFonts w:asciiTheme="majorBidi" w:hAnsiTheme="majorBidi" w:cstheme="majorBidi"/>
          <w:sz w:val="24"/>
          <w:szCs w:val="24"/>
          <w:highlight w:val="yellow"/>
        </w:rPr>
        <w:tab/>
        <w:t>Drug induced liver injury.</w:t>
      </w:r>
    </w:p>
    <w:p w14:paraId="586D0864" w14:textId="77777777" w:rsidR="003B5ACE" w:rsidRPr="002F1AF5" w:rsidRDefault="003B5ACE" w:rsidP="003B5ACE">
      <w:pPr>
        <w:spacing w:before="120" w:after="0" w:line="360" w:lineRule="auto"/>
        <w:ind w:firstLine="720"/>
        <w:jc w:val="both"/>
        <w:rPr>
          <w:rFonts w:asciiTheme="majorBidi" w:hAnsiTheme="majorBidi" w:cstheme="majorBidi"/>
          <w:sz w:val="24"/>
          <w:szCs w:val="24"/>
          <w:highlight w:val="yellow"/>
        </w:rPr>
      </w:pPr>
      <w:r w:rsidRPr="002F1AF5">
        <w:rPr>
          <w:rFonts w:asciiTheme="majorBidi" w:hAnsiTheme="majorBidi" w:cstheme="majorBidi"/>
          <w:sz w:val="24"/>
          <w:szCs w:val="24"/>
          <w:highlight w:val="yellow"/>
        </w:rPr>
        <w:t></w:t>
      </w:r>
      <w:r w:rsidRPr="002F1AF5">
        <w:rPr>
          <w:rFonts w:asciiTheme="majorBidi" w:hAnsiTheme="majorBidi" w:cstheme="majorBidi"/>
          <w:sz w:val="24"/>
          <w:szCs w:val="24"/>
          <w:highlight w:val="yellow"/>
        </w:rPr>
        <w:tab/>
        <w:t>Vascular: Budd-Chiari syndrome.</w:t>
      </w:r>
    </w:p>
    <w:p w14:paraId="69E7B80F" w14:textId="77777777" w:rsidR="003B5ACE" w:rsidRPr="002F1AF5" w:rsidRDefault="003B5ACE" w:rsidP="003B5ACE">
      <w:pPr>
        <w:spacing w:before="120" w:after="0" w:line="360" w:lineRule="auto"/>
        <w:ind w:firstLine="720"/>
        <w:jc w:val="both"/>
        <w:rPr>
          <w:rFonts w:asciiTheme="majorBidi" w:hAnsiTheme="majorBidi" w:cstheme="majorBidi"/>
          <w:sz w:val="24"/>
          <w:szCs w:val="24"/>
          <w:highlight w:val="yellow"/>
        </w:rPr>
      </w:pPr>
      <w:r w:rsidRPr="002F1AF5">
        <w:rPr>
          <w:rFonts w:asciiTheme="majorBidi" w:hAnsiTheme="majorBidi" w:cstheme="majorBidi"/>
          <w:sz w:val="24"/>
          <w:szCs w:val="24"/>
          <w:highlight w:val="yellow"/>
        </w:rPr>
        <w:t></w:t>
      </w:r>
      <w:r w:rsidRPr="002F1AF5">
        <w:rPr>
          <w:rFonts w:asciiTheme="majorBidi" w:hAnsiTheme="majorBidi" w:cstheme="majorBidi"/>
          <w:sz w:val="24"/>
          <w:szCs w:val="24"/>
          <w:highlight w:val="yellow"/>
        </w:rPr>
        <w:tab/>
        <w:t>Genetic: Hereditary hemochromatosis and Wilson disease.</w:t>
      </w:r>
    </w:p>
    <w:p w14:paraId="7EA2047F" w14:textId="798D03CB" w:rsidR="003B5ACE" w:rsidRPr="003B5ACE" w:rsidRDefault="003B5ACE" w:rsidP="003B5ACE">
      <w:pPr>
        <w:spacing w:before="120" w:after="0" w:line="360" w:lineRule="auto"/>
        <w:ind w:firstLine="720"/>
        <w:jc w:val="both"/>
        <w:rPr>
          <w:rFonts w:asciiTheme="majorBidi" w:hAnsiTheme="majorBidi" w:cstheme="majorBidi"/>
          <w:sz w:val="24"/>
          <w:szCs w:val="24"/>
        </w:rPr>
      </w:pPr>
      <w:r w:rsidRPr="002F1AF5">
        <w:rPr>
          <w:rFonts w:asciiTheme="majorBidi" w:hAnsiTheme="majorBidi" w:cstheme="majorBidi"/>
          <w:sz w:val="24"/>
          <w:szCs w:val="24"/>
          <w:highlight w:val="yellow"/>
        </w:rPr>
        <w:t></w:t>
      </w:r>
      <w:r w:rsidRPr="002F1AF5">
        <w:rPr>
          <w:rFonts w:asciiTheme="majorBidi" w:hAnsiTheme="majorBidi" w:cstheme="majorBidi"/>
          <w:sz w:val="24"/>
          <w:szCs w:val="24"/>
          <w:highlight w:val="yellow"/>
        </w:rPr>
        <w:tab/>
        <w:t>Idiopathic/cryptogenic.</w:t>
      </w:r>
    </w:p>
    <w:p w14:paraId="1CD58C30" w14:textId="0725D8D8" w:rsidR="002332B0" w:rsidRPr="0066023D" w:rsidRDefault="002332B0" w:rsidP="00AF5787">
      <w:pPr>
        <w:spacing w:before="120" w:after="0" w:line="360" w:lineRule="auto"/>
        <w:rPr>
          <w:rFonts w:asciiTheme="majorBidi" w:hAnsiTheme="majorBidi" w:cstheme="majorBidi"/>
          <w:b/>
          <w:bCs/>
          <w:i/>
          <w:iCs/>
          <w:color w:val="000000" w:themeColor="text1"/>
          <w:sz w:val="24"/>
          <w:szCs w:val="24"/>
          <w:lang w:bidi="ar-EG"/>
        </w:rPr>
      </w:pPr>
      <w:r w:rsidRPr="0066023D">
        <w:rPr>
          <w:rFonts w:asciiTheme="majorBidi" w:hAnsiTheme="majorBidi" w:cstheme="majorBidi"/>
          <w:b/>
          <w:bCs/>
          <w:i/>
          <w:iCs/>
          <w:color w:val="000000" w:themeColor="text1"/>
          <w:sz w:val="24"/>
          <w:szCs w:val="24"/>
          <w:lang w:bidi="ar-EG"/>
        </w:rPr>
        <w:t>Statistical analysis</w:t>
      </w:r>
    </w:p>
    <w:p w14:paraId="7CBFEBBD" w14:textId="77777777" w:rsidR="00900B90" w:rsidRPr="00900B90" w:rsidRDefault="00900B90" w:rsidP="00900B90">
      <w:pPr>
        <w:spacing w:before="120" w:after="0" w:line="360" w:lineRule="auto"/>
        <w:jc w:val="both"/>
        <w:rPr>
          <w:rFonts w:asciiTheme="majorBidi" w:eastAsia="Calibri" w:hAnsiTheme="majorBidi" w:cstheme="majorBidi"/>
          <w:sz w:val="24"/>
          <w:szCs w:val="24"/>
        </w:rPr>
      </w:pPr>
      <w:r w:rsidRPr="00900B90">
        <w:rPr>
          <w:rFonts w:asciiTheme="majorBidi" w:eastAsia="Calibri" w:hAnsiTheme="majorBidi" w:cstheme="majorBidi"/>
          <w:sz w:val="24"/>
          <w:szCs w:val="24"/>
        </w:rPr>
        <w:lastRenderedPageBreak/>
        <w:t>The statistical software for social sciences, version 20.0 (SPSS Inc., Chicago, Illinois, USA), was utilized to analyze the recorded data. Quantitative data were compared utilizing the Student or paired t test, and reported as mean ± Standard Deviation (SD). The Chi2 test was utilized to compare the frequency and proportion of qualitative data. Since there was a 95% level of confidence, a P value of less than 0.05 was considered significant.</w:t>
      </w:r>
    </w:p>
    <w:p w14:paraId="335700C3" w14:textId="5E08DC91" w:rsidR="00570FE7" w:rsidRPr="0012033D" w:rsidRDefault="00D256B9" w:rsidP="00AF5787">
      <w:pPr>
        <w:spacing w:before="120" w:after="0" w:line="360" w:lineRule="auto"/>
        <w:jc w:val="both"/>
        <w:rPr>
          <w:rFonts w:asciiTheme="majorBidi" w:eastAsia="Calibri" w:hAnsiTheme="majorBidi" w:cstheme="majorBidi"/>
          <w:b/>
          <w:bCs/>
          <w:sz w:val="24"/>
          <w:szCs w:val="24"/>
        </w:rPr>
      </w:pPr>
      <w:r w:rsidRPr="0012033D">
        <w:rPr>
          <w:rFonts w:asciiTheme="majorBidi" w:eastAsia="Calibri" w:hAnsiTheme="majorBidi" w:cstheme="majorBidi"/>
          <w:b/>
          <w:bCs/>
          <w:sz w:val="24"/>
          <w:szCs w:val="24"/>
        </w:rPr>
        <w:t xml:space="preserve">Results </w:t>
      </w:r>
    </w:p>
    <w:p w14:paraId="1C9FC697" w14:textId="74E3F196" w:rsidR="00BC6526" w:rsidRDefault="00BC6526" w:rsidP="00AF5787">
      <w:pPr>
        <w:spacing w:before="120" w:after="0" w:line="360" w:lineRule="auto"/>
        <w:ind w:firstLine="720"/>
        <w:jc w:val="both"/>
        <w:rPr>
          <w:rFonts w:asciiTheme="majorBidi" w:hAnsiTheme="majorBidi" w:cstheme="majorBidi"/>
          <w:color w:val="242021"/>
          <w:sz w:val="24"/>
          <w:szCs w:val="24"/>
        </w:rPr>
      </w:pPr>
      <w:r w:rsidRPr="0012033D">
        <w:rPr>
          <w:rFonts w:asciiTheme="majorBidi" w:hAnsiTheme="majorBidi" w:cstheme="majorBidi"/>
          <w:color w:val="242021"/>
          <w:sz w:val="24"/>
          <w:szCs w:val="24"/>
        </w:rPr>
        <w:t>Th</w:t>
      </w:r>
      <w:r w:rsidR="00913326" w:rsidRPr="0012033D">
        <w:rPr>
          <w:rFonts w:asciiTheme="majorBidi" w:hAnsiTheme="majorBidi" w:cstheme="majorBidi"/>
          <w:color w:val="242021"/>
          <w:sz w:val="24"/>
          <w:szCs w:val="24"/>
        </w:rPr>
        <w:t xml:space="preserve">is cohort </w:t>
      </w:r>
      <w:r w:rsidRPr="0012033D">
        <w:rPr>
          <w:rFonts w:asciiTheme="majorBidi" w:hAnsiTheme="majorBidi" w:cstheme="majorBidi"/>
          <w:color w:val="242021"/>
          <w:sz w:val="24"/>
          <w:szCs w:val="24"/>
        </w:rPr>
        <w:t xml:space="preserve">study </w:t>
      </w:r>
      <w:r w:rsidR="00913326" w:rsidRPr="0012033D">
        <w:rPr>
          <w:rFonts w:asciiTheme="majorBidi" w:hAnsiTheme="majorBidi" w:cstheme="majorBidi"/>
          <w:color w:val="242021"/>
          <w:sz w:val="24"/>
          <w:szCs w:val="24"/>
        </w:rPr>
        <w:t xml:space="preserve">was performed on </w:t>
      </w:r>
      <w:r w:rsidRPr="0012033D">
        <w:rPr>
          <w:rFonts w:asciiTheme="majorBidi" w:hAnsiTheme="majorBidi" w:cstheme="majorBidi"/>
          <w:color w:val="242021"/>
          <w:sz w:val="24"/>
          <w:szCs w:val="24"/>
        </w:rPr>
        <w:t>100 COVID19 patients</w:t>
      </w:r>
      <w:r w:rsidR="003825CE" w:rsidRPr="0012033D">
        <w:rPr>
          <w:rFonts w:asciiTheme="majorBidi" w:hAnsiTheme="majorBidi" w:cstheme="majorBidi"/>
          <w:color w:val="242021"/>
          <w:sz w:val="24"/>
          <w:szCs w:val="24"/>
        </w:rPr>
        <w:t xml:space="preserve"> (70</w:t>
      </w:r>
      <w:r w:rsidR="00913326" w:rsidRPr="0012033D">
        <w:rPr>
          <w:rFonts w:asciiTheme="majorBidi" w:hAnsiTheme="majorBidi" w:cstheme="majorBidi"/>
          <w:color w:val="242021"/>
          <w:sz w:val="24"/>
          <w:szCs w:val="24"/>
        </w:rPr>
        <w:t xml:space="preserve"> patients with</w:t>
      </w:r>
      <w:r w:rsidR="003825CE" w:rsidRPr="0012033D">
        <w:rPr>
          <w:rFonts w:asciiTheme="majorBidi" w:hAnsiTheme="majorBidi" w:cstheme="majorBidi"/>
          <w:color w:val="242021"/>
          <w:sz w:val="24"/>
          <w:szCs w:val="24"/>
        </w:rPr>
        <w:t xml:space="preserve"> CLD and 30 </w:t>
      </w:r>
      <w:r w:rsidR="00913326" w:rsidRPr="0012033D">
        <w:rPr>
          <w:rFonts w:asciiTheme="majorBidi" w:hAnsiTheme="majorBidi" w:cstheme="majorBidi"/>
          <w:color w:val="242021"/>
          <w:sz w:val="24"/>
          <w:szCs w:val="24"/>
        </w:rPr>
        <w:t>without CLD</w:t>
      </w:r>
      <w:r w:rsidR="003825CE" w:rsidRPr="0012033D">
        <w:rPr>
          <w:rFonts w:asciiTheme="majorBidi" w:hAnsiTheme="majorBidi" w:cstheme="majorBidi"/>
          <w:color w:val="242021"/>
          <w:sz w:val="24"/>
          <w:szCs w:val="24"/>
        </w:rPr>
        <w:t>)</w:t>
      </w:r>
      <w:r w:rsidR="00913326" w:rsidRPr="0012033D">
        <w:rPr>
          <w:rFonts w:asciiTheme="majorBidi" w:hAnsiTheme="majorBidi" w:cstheme="majorBidi"/>
          <w:color w:val="242021"/>
          <w:sz w:val="24"/>
          <w:szCs w:val="24"/>
        </w:rPr>
        <w:t>. Their baseline demographic and clinical data were summarized in Table (1)</w:t>
      </w:r>
      <w:r w:rsidR="00793E00" w:rsidRPr="0012033D">
        <w:rPr>
          <w:rFonts w:asciiTheme="majorBidi" w:hAnsiTheme="majorBidi" w:cstheme="majorBidi"/>
          <w:color w:val="242021"/>
          <w:sz w:val="24"/>
          <w:szCs w:val="24"/>
        </w:rPr>
        <w:t xml:space="preserve"> </w:t>
      </w:r>
      <w:r w:rsidR="00913326" w:rsidRPr="0012033D">
        <w:rPr>
          <w:rFonts w:asciiTheme="majorBidi" w:hAnsiTheme="majorBidi" w:cstheme="majorBidi"/>
          <w:color w:val="242021"/>
          <w:sz w:val="24"/>
          <w:szCs w:val="24"/>
        </w:rPr>
        <w:t xml:space="preserve">where </w:t>
      </w:r>
      <w:r w:rsidR="00132761" w:rsidRPr="0012033D">
        <w:rPr>
          <w:rFonts w:asciiTheme="majorBidi" w:hAnsiTheme="majorBidi" w:cstheme="majorBidi"/>
          <w:color w:val="242021"/>
          <w:sz w:val="24"/>
          <w:szCs w:val="24"/>
        </w:rPr>
        <w:t>COVID19 patients with CLD were older</w:t>
      </w:r>
      <w:r w:rsidR="003825CE" w:rsidRPr="0012033D">
        <w:rPr>
          <w:rFonts w:asciiTheme="majorBidi" w:hAnsiTheme="majorBidi" w:cstheme="majorBidi"/>
          <w:color w:val="242021"/>
          <w:sz w:val="24"/>
          <w:szCs w:val="24"/>
        </w:rPr>
        <w:t xml:space="preserve"> and had more severe infection, lower hemoglobin level and platelets </w:t>
      </w:r>
      <w:r w:rsidR="002F0944" w:rsidRPr="0012033D">
        <w:rPr>
          <w:rFonts w:asciiTheme="majorBidi" w:hAnsiTheme="majorBidi" w:cstheme="majorBidi"/>
          <w:color w:val="242021"/>
          <w:sz w:val="24"/>
          <w:szCs w:val="24"/>
        </w:rPr>
        <w:t xml:space="preserve">compared to </w:t>
      </w:r>
      <w:r w:rsidR="00132761" w:rsidRPr="0012033D">
        <w:rPr>
          <w:rFonts w:asciiTheme="majorBidi" w:hAnsiTheme="majorBidi" w:cstheme="majorBidi"/>
          <w:color w:val="242021"/>
          <w:sz w:val="24"/>
          <w:szCs w:val="24"/>
        </w:rPr>
        <w:t>those without CLD</w:t>
      </w:r>
      <w:r w:rsidR="003825CE" w:rsidRPr="0012033D">
        <w:rPr>
          <w:rFonts w:asciiTheme="majorBidi" w:hAnsiTheme="majorBidi" w:cstheme="majorBidi"/>
          <w:color w:val="242021"/>
          <w:sz w:val="24"/>
          <w:szCs w:val="24"/>
        </w:rPr>
        <w:t xml:space="preserve"> (P &lt; 0.001, for all)</w:t>
      </w:r>
      <w:r w:rsidR="00132761" w:rsidRPr="0012033D">
        <w:rPr>
          <w:rFonts w:asciiTheme="majorBidi" w:hAnsiTheme="majorBidi" w:cstheme="majorBidi"/>
          <w:color w:val="242021"/>
          <w:sz w:val="24"/>
          <w:szCs w:val="24"/>
        </w:rPr>
        <w:t xml:space="preserve">. </w:t>
      </w:r>
      <w:r w:rsidR="002F0944" w:rsidRPr="0012033D">
        <w:rPr>
          <w:rFonts w:asciiTheme="majorBidi" w:hAnsiTheme="majorBidi" w:cstheme="majorBidi"/>
          <w:color w:val="242021"/>
          <w:sz w:val="24"/>
          <w:szCs w:val="24"/>
        </w:rPr>
        <w:t xml:space="preserve">In addition, patients with CLD showed higher frequency of symptomology </w:t>
      </w:r>
      <w:r w:rsidR="00597658" w:rsidRPr="0012033D">
        <w:rPr>
          <w:rFonts w:asciiTheme="majorBidi" w:hAnsiTheme="majorBidi" w:cstheme="majorBidi"/>
          <w:color w:val="242021"/>
          <w:sz w:val="24"/>
          <w:szCs w:val="24"/>
        </w:rPr>
        <w:t xml:space="preserve">including </w:t>
      </w:r>
      <w:r w:rsidR="00793E00" w:rsidRPr="0012033D">
        <w:rPr>
          <w:rFonts w:asciiTheme="majorBidi" w:hAnsiTheme="majorBidi" w:cstheme="majorBidi"/>
          <w:sz w:val="24"/>
          <w:szCs w:val="24"/>
        </w:rPr>
        <w:t>a</w:t>
      </w:r>
      <w:r w:rsidR="00597658" w:rsidRPr="0012033D">
        <w:rPr>
          <w:rFonts w:asciiTheme="majorBidi" w:hAnsiTheme="majorBidi" w:cstheme="majorBidi"/>
          <w:sz w:val="24"/>
          <w:szCs w:val="24"/>
        </w:rPr>
        <w:t>nosmia</w:t>
      </w:r>
      <w:r w:rsidR="00597658" w:rsidRPr="0012033D">
        <w:rPr>
          <w:rFonts w:asciiTheme="majorBidi" w:hAnsiTheme="majorBidi" w:cstheme="majorBidi"/>
          <w:color w:val="242021"/>
          <w:sz w:val="24"/>
          <w:szCs w:val="24"/>
        </w:rPr>
        <w:t>, fever, dyspnea and cough but without statistical significance.</w:t>
      </w:r>
    </w:p>
    <w:p w14:paraId="2ED7F6EC" w14:textId="6B0B307D" w:rsidR="007A7DA3" w:rsidRPr="0012033D" w:rsidRDefault="007A7DA3" w:rsidP="00900B90">
      <w:pPr>
        <w:spacing w:before="120" w:after="0" w:line="360" w:lineRule="auto"/>
        <w:jc w:val="both"/>
        <w:rPr>
          <w:rFonts w:asciiTheme="majorBidi" w:hAnsiTheme="majorBidi" w:cstheme="majorBidi"/>
          <w:b/>
          <w:bCs/>
          <w:sz w:val="24"/>
          <w:szCs w:val="24"/>
          <w:lang w:bidi="ar-EG"/>
        </w:rPr>
      </w:pPr>
      <w:r w:rsidRPr="0012033D">
        <w:rPr>
          <w:rFonts w:asciiTheme="majorBidi" w:hAnsiTheme="majorBidi" w:cstheme="majorBidi"/>
          <w:b/>
          <w:bCs/>
          <w:sz w:val="24"/>
          <w:szCs w:val="24"/>
          <w:lang w:bidi="ar-EG"/>
        </w:rPr>
        <w:t xml:space="preserve">Table 1: </w:t>
      </w:r>
      <w:r w:rsidR="00900B90" w:rsidRPr="00900B90">
        <w:rPr>
          <w:rFonts w:asciiTheme="majorBidi" w:hAnsiTheme="majorBidi" w:cstheme="majorBidi"/>
          <w:b/>
          <w:bCs/>
          <w:sz w:val="24"/>
          <w:szCs w:val="24"/>
          <w:lang w:bidi="ar-EG"/>
        </w:rPr>
        <w:t>baseline clinical and demographic information for the participants under study</w:t>
      </w:r>
    </w:p>
    <w:tbl>
      <w:tblPr>
        <w:tblStyle w:val="TableGrid1"/>
        <w:tblW w:w="4865"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9"/>
        <w:gridCol w:w="2368"/>
        <w:gridCol w:w="2246"/>
        <w:gridCol w:w="756"/>
      </w:tblGrid>
      <w:tr w:rsidR="00C07670" w:rsidRPr="00300EA0" w14:paraId="7EE4815E" w14:textId="77777777" w:rsidTr="00300EA0">
        <w:trPr>
          <w:trHeight w:val="97"/>
        </w:trPr>
        <w:tc>
          <w:tcPr>
            <w:tcW w:w="1766" w:type="pct"/>
            <w:vMerge w:val="restart"/>
            <w:tcBorders>
              <w:top w:val="single" w:sz="18" w:space="0" w:color="auto"/>
              <w:bottom w:val="single" w:sz="4" w:space="0" w:color="auto"/>
            </w:tcBorders>
            <w:vAlign w:val="center"/>
          </w:tcPr>
          <w:p w14:paraId="5E4FB0A8" w14:textId="77777777" w:rsidR="00C07670" w:rsidRPr="00300EA0" w:rsidRDefault="00C07670" w:rsidP="00AF5787">
            <w:pPr>
              <w:spacing w:before="60" w:after="60" w:line="240" w:lineRule="auto"/>
              <w:jc w:val="center"/>
              <w:rPr>
                <w:rFonts w:asciiTheme="majorBidi" w:hAnsiTheme="majorBidi" w:cstheme="majorBidi"/>
                <w:b/>
                <w:bCs/>
                <w:sz w:val="24"/>
                <w:szCs w:val="24"/>
              </w:rPr>
            </w:pPr>
          </w:p>
        </w:tc>
        <w:tc>
          <w:tcPr>
            <w:tcW w:w="2781" w:type="pct"/>
            <w:gridSpan w:val="2"/>
            <w:tcBorders>
              <w:top w:val="single" w:sz="18" w:space="0" w:color="auto"/>
              <w:bottom w:val="single" w:sz="4" w:space="0" w:color="auto"/>
            </w:tcBorders>
            <w:vAlign w:val="center"/>
            <w:hideMark/>
          </w:tcPr>
          <w:p w14:paraId="3239161E" w14:textId="3E0BBE7A" w:rsidR="00C07670" w:rsidRPr="00300EA0" w:rsidRDefault="00C07670" w:rsidP="00AF5787">
            <w:pPr>
              <w:spacing w:before="60" w:after="60" w:line="240" w:lineRule="auto"/>
              <w:jc w:val="center"/>
              <w:rPr>
                <w:rFonts w:asciiTheme="majorBidi" w:hAnsiTheme="majorBidi" w:cstheme="majorBidi"/>
                <w:b/>
                <w:bCs/>
                <w:sz w:val="24"/>
                <w:szCs w:val="24"/>
              </w:rPr>
            </w:pPr>
            <w:r w:rsidRPr="00300EA0">
              <w:rPr>
                <w:rFonts w:asciiTheme="majorBidi" w:hAnsiTheme="majorBidi" w:cstheme="majorBidi"/>
                <w:b/>
                <w:bCs/>
                <w:sz w:val="24"/>
                <w:szCs w:val="24"/>
              </w:rPr>
              <w:t xml:space="preserve">Patients with </w:t>
            </w:r>
            <w:r w:rsidR="008A6F48" w:rsidRPr="00300EA0">
              <w:rPr>
                <w:rFonts w:ascii="Times New Roman" w:hAnsi="Times New Roman" w:cs="Times New Roman"/>
                <w:b/>
                <w:bCs/>
                <w:sz w:val="24"/>
                <w:szCs w:val="24"/>
                <w:lang w:bidi="ar-EG"/>
              </w:rPr>
              <w:t>chronic liver disease</w:t>
            </w:r>
          </w:p>
        </w:tc>
        <w:tc>
          <w:tcPr>
            <w:tcW w:w="453" w:type="pct"/>
            <w:vMerge w:val="restart"/>
            <w:tcBorders>
              <w:top w:val="single" w:sz="18" w:space="0" w:color="auto"/>
              <w:bottom w:val="single" w:sz="4" w:space="0" w:color="auto"/>
            </w:tcBorders>
            <w:vAlign w:val="center"/>
            <w:hideMark/>
          </w:tcPr>
          <w:p w14:paraId="531244C1" w14:textId="77777777" w:rsidR="00C07670" w:rsidRPr="00300EA0" w:rsidRDefault="00C07670" w:rsidP="00AF5787">
            <w:pPr>
              <w:spacing w:before="60" w:after="60" w:line="240" w:lineRule="auto"/>
              <w:jc w:val="center"/>
              <w:rPr>
                <w:rFonts w:asciiTheme="majorBidi" w:hAnsiTheme="majorBidi" w:cstheme="majorBidi"/>
                <w:b/>
                <w:bCs/>
                <w:sz w:val="24"/>
                <w:szCs w:val="24"/>
              </w:rPr>
            </w:pPr>
            <w:r w:rsidRPr="00300EA0">
              <w:rPr>
                <w:rFonts w:asciiTheme="majorBidi" w:hAnsiTheme="majorBidi" w:cstheme="majorBidi"/>
                <w:b/>
                <w:bCs/>
                <w:sz w:val="24"/>
                <w:szCs w:val="24"/>
              </w:rPr>
              <w:t>P</w:t>
            </w:r>
          </w:p>
        </w:tc>
      </w:tr>
      <w:tr w:rsidR="00C07670" w:rsidRPr="00300EA0" w14:paraId="7B203BD5" w14:textId="77777777" w:rsidTr="00300EA0">
        <w:trPr>
          <w:trHeight w:val="152"/>
        </w:trPr>
        <w:tc>
          <w:tcPr>
            <w:tcW w:w="1766" w:type="pct"/>
            <w:vMerge/>
            <w:tcBorders>
              <w:top w:val="single" w:sz="4" w:space="0" w:color="auto"/>
              <w:bottom w:val="single" w:sz="18" w:space="0" w:color="auto"/>
            </w:tcBorders>
            <w:vAlign w:val="center"/>
            <w:hideMark/>
          </w:tcPr>
          <w:p w14:paraId="1F43EA83" w14:textId="77777777" w:rsidR="00C07670" w:rsidRPr="00300EA0" w:rsidRDefault="00C07670" w:rsidP="00AF5787">
            <w:pPr>
              <w:spacing w:before="60" w:after="60" w:line="240" w:lineRule="auto"/>
              <w:jc w:val="center"/>
              <w:rPr>
                <w:rFonts w:asciiTheme="majorBidi" w:hAnsiTheme="majorBidi" w:cstheme="majorBidi"/>
                <w:b/>
                <w:bCs/>
                <w:sz w:val="24"/>
                <w:szCs w:val="24"/>
              </w:rPr>
            </w:pPr>
          </w:p>
        </w:tc>
        <w:tc>
          <w:tcPr>
            <w:tcW w:w="1427" w:type="pct"/>
            <w:tcBorders>
              <w:top w:val="single" w:sz="4" w:space="0" w:color="auto"/>
              <w:bottom w:val="single" w:sz="18" w:space="0" w:color="auto"/>
            </w:tcBorders>
            <w:vAlign w:val="center"/>
            <w:hideMark/>
          </w:tcPr>
          <w:p w14:paraId="0B8864B5" w14:textId="77777777" w:rsidR="00C07670" w:rsidRPr="00300EA0" w:rsidRDefault="00C07670" w:rsidP="00AF5787">
            <w:pPr>
              <w:spacing w:before="60" w:after="60" w:line="240" w:lineRule="auto"/>
              <w:jc w:val="center"/>
              <w:rPr>
                <w:rFonts w:asciiTheme="majorBidi" w:hAnsiTheme="majorBidi" w:cstheme="majorBidi"/>
                <w:b/>
                <w:bCs/>
                <w:sz w:val="24"/>
                <w:szCs w:val="24"/>
              </w:rPr>
            </w:pPr>
            <w:r w:rsidRPr="00300EA0">
              <w:rPr>
                <w:rFonts w:asciiTheme="majorBidi" w:hAnsiTheme="majorBidi" w:cstheme="majorBidi"/>
                <w:b/>
                <w:bCs/>
                <w:sz w:val="24"/>
                <w:szCs w:val="24"/>
              </w:rPr>
              <w:t>No (n=30)</w:t>
            </w:r>
          </w:p>
        </w:tc>
        <w:tc>
          <w:tcPr>
            <w:tcW w:w="1354" w:type="pct"/>
            <w:tcBorders>
              <w:top w:val="single" w:sz="4" w:space="0" w:color="auto"/>
              <w:bottom w:val="single" w:sz="18" w:space="0" w:color="auto"/>
            </w:tcBorders>
            <w:vAlign w:val="center"/>
            <w:hideMark/>
          </w:tcPr>
          <w:p w14:paraId="0A8C2150" w14:textId="77777777" w:rsidR="00C07670" w:rsidRPr="00300EA0" w:rsidRDefault="00C07670" w:rsidP="00AF5787">
            <w:pPr>
              <w:spacing w:before="60" w:after="60" w:line="240" w:lineRule="auto"/>
              <w:jc w:val="center"/>
              <w:rPr>
                <w:rFonts w:asciiTheme="majorBidi" w:hAnsiTheme="majorBidi" w:cstheme="majorBidi"/>
                <w:b/>
                <w:bCs/>
                <w:sz w:val="24"/>
                <w:szCs w:val="24"/>
              </w:rPr>
            </w:pPr>
            <w:r w:rsidRPr="00300EA0">
              <w:rPr>
                <w:rFonts w:asciiTheme="majorBidi" w:hAnsiTheme="majorBidi" w:cstheme="majorBidi"/>
                <w:b/>
                <w:bCs/>
                <w:sz w:val="24"/>
                <w:szCs w:val="24"/>
              </w:rPr>
              <w:t>Yes (n=70)</w:t>
            </w:r>
          </w:p>
        </w:tc>
        <w:tc>
          <w:tcPr>
            <w:tcW w:w="453" w:type="pct"/>
            <w:vMerge/>
            <w:tcBorders>
              <w:top w:val="single" w:sz="4" w:space="0" w:color="auto"/>
              <w:bottom w:val="single" w:sz="18" w:space="0" w:color="auto"/>
            </w:tcBorders>
            <w:vAlign w:val="center"/>
            <w:hideMark/>
          </w:tcPr>
          <w:p w14:paraId="3CE6BE53" w14:textId="77777777" w:rsidR="00C07670" w:rsidRPr="00300EA0" w:rsidRDefault="00C07670" w:rsidP="00AF5787">
            <w:pPr>
              <w:spacing w:before="60" w:after="60" w:line="240" w:lineRule="auto"/>
              <w:jc w:val="center"/>
              <w:rPr>
                <w:rFonts w:asciiTheme="majorBidi" w:hAnsiTheme="majorBidi" w:cstheme="majorBidi"/>
                <w:sz w:val="24"/>
                <w:szCs w:val="24"/>
              </w:rPr>
            </w:pPr>
          </w:p>
        </w:tc>
      </w:tr>
      <w:tr w:rsidR="006B7436" w:rsidRPr="00300EA0" w14:paraId="61808D86" w14:textId="77777777" w:rsidTr="00300EA0">
        <w:trPr>
          <w:trHeight w:val="249"/>
        </w:trPr>
        <w:tc>
          <w:tcPr>
            <w:tcW w:w="1766" w:type="pct"/>
            <w:tcBorders>
              <w:top w:val="single" w:sz="18" w:space="0" w:color="auto"/>
            </w:tcBorders>
            <w:hideMark/>
          </w:tcPr>
          <w:p w14:paraId="1EA457BC" w14:textId="6507CB10" w:rsidR="006B7436" w:rsidRPr="00300EA0" w:rsidRDefault="006B7436" w:rsidP="00AF5787">
            <w:pPr>
              <w:spacing w:before="60" w:after="60" w:line="240" w:lineRule="auto"/>
              <w:rPr>
                <w:rFonts w:asciiTheme="majorBidi" w:hAnsiTheme="majorBidi" w:cstheme="majorBidi"/>
                <w:b/>
                <w:bCs/>
                <w:sz w:val="24"/>
                <w:szCs w:val="24"/>
              </w:rPr>
            </w:pPr>
            <w:r w:rsidRPr="00300EA0">
              <w:rPr>
                <w:rFonts w:asciiTheme="majorBidi" w:hAnsiTheme="majorBidi" w:cstheme="majorBidi"/>
                <w:b/>
                <w:bCs/>
                <w:sz w:val="24"/>
                <w:szCs w:val="24"/>
              </w:rPr>
              <w:t>Age</w:t>
            </w:r>
            <w:r w:rsidR="00325311" w:rsidRPr="00300EA0">
              <w:rPr>
                <w:rFonts w:asciiTheme="majorBidi" w:hAnsiTheme="majorBidi" w:cstheme="majorBidi"/>
                <w:b/>
                <w:bCs/>
                <w:sz w:val="24"/>
                <w:szCs w:val="24"/>
              </w:rPr>
              <w:t>(years)</w:t>
            </w:r>
          </w:p>
        </w:tc>
        <w:tc>
          <w:tcPr>
            <w:tcW w:w="1427" w:type="pct"/>
            <w:tcBorders>
              <w:top w:val="single" w:sz="18" w:space="0" w:color="auto"/>
            </w:tcBorders>
          </w:tcPr>
          <w:p w14:paraId="21C69CCB" w14:textId="6F77792A" w:rsidR="006B7436" w:rsidRPr="00300EA0" w:rsidRDefault="006B7436" w:rsidP="00AF5787">
            <w:pPr>
              <w:spacing w:before="60" w:after="60" w:line="240" w:lineRule="auto"/>
              <w:jc w:val="center"/>
              <w:rPr>
                <w:rFonts w:asciiTheme="majorBidi" w:hAnsiTheme="majorBidi" w:cstheme="majorBidi"/>
                <w:sz w:val="24"/>
                <w:szCs w:val="24"/>
                <w:lang w:bidi="ar-EG"/>
              </w:rPr>
            </w:pPr>
            <w:r w:rsidRPr="00300EA0">
              <w:rPr>
                <w:rFonts w:asciiTheme="majorBidi" w:hAnsiTheme="majorBidi" w:cstheme="majorBidi"/>
                <w:sz w:val="24"/>
                <w:szCs w:val="24"/>
              </w:rPr>
              <w:t>30.30 ± 5.11</w:t>
            </w:r>
          </w:p>
        </w:tc>
        <w:tc>
          <w:tcPr>
            <w:tcW w:w="1354" w:type="pct"/>
            <w:tcBorders>
              <w:top w:val="single" w:sz="18" w:space="0" w:color="auto"/>
            </w:tcBorders>
          </w:tcPr>
          <w:p w14:paraId="5B79D4E3" w14:textId="55702FD3" w:rsidR="006B7436" w:rsidRPr="00300EA0" w:rsidRDefault="006B7436"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55.13 ± 13.98</w:t>
            </w:r>
          </w:p>
        </w:tc>
        <w:tc>
          <w:tcPr>
            <w:tcW w:w="453" w:type="pct"/>
            <w:tcBorders>
              <w:top w:val="single" w:sz="18" w:space="0" w:color="auto"/>
            </w:tcBorders>
          </w:tcPr>
          <w:p w14:paraId="6BE8EAB2" w14:textId="4BE79D53" w:rsidR="006B7436" w:rsidRPr="00300EA0" w:rsidRDefault="006B7436"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b/>
                <w:bCs/>
                <w:sz w:val="24"/>
                <w:szCs w:val="24"/>
              </w:rPr>
              <w:t>&lt; 0.001</w:t>
            </w:r>
          </w:p>
        </w:tc>
      </w:tr>
      <w:tr w:rsidR="006B7436" w:rsidRPr="00300EA0" w14:paraId="010AAA2B" w14:textId="77777777" w:rsidTr="00300EA0">
        <w:trPr>
          <w:trHeight w:val="235"/>
        </w:trPr>
        <w:tc>
          <w:tcPr>
            <w:tcW w:w="1766" w:type="pct"/>
            <w:hideMark/>
          </w:tcPr>
          <w:p w14:paraId="1BC225DF" w14:textId="77777777" w:rsidR="006B7436" w:rsidRPr="00300EA0" w:rsidRDefault="006B7436" w:rsidP="00AF5787">
            <w:pPr>
              <w:spacing w:before="60" w:after="60" w:line="240" w:lineRule="auto"/>
              <w:rPr>
                <w:rFonts w:asciiTheme="majorBidi" w:hAnsiTheme="majorBidi" w:cstheme="majorBidi"/>
                <w:b/>
                <w:bCs/>
                <w:sz w:val="24"/>
                <w:szCs w:val="24"/>
              </w:rPr>
            </w:pPr>
            <w:r w:rsidRPr="00300EA0">
              <w:rPr>
                <w:rFonts w:asciiTheme="majorBidi" w:hAnsiTheme="majorBidi" w:cstheme="majorBidi"/>
                <w:b/>
                <w:bCs/>
                <w:sz w:val="24"/>
                <w:szCs w:val="24"/>
              </w:rPr>
              <w:t>Sex (M/F)</w:t>
            </w:r>
          </w:p>
        </w:tc>
        <w:tc>
          <w:tcPr>
            <w:tcW w:w="1427" w:type="pct"/>
            <w:hideMark/>
          </w:tcPr>
          <w:p w14:paraId="0233ADD6" w14:textId="77777777" w:rsidR="006B7436" w:rsidRPr="00300EA0" w:rsidRDefault="006B7436"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20/10 (66.7/33.3)</w:t>
            </w:r>
          </w:p>
        </w:tc>
        <w:tc>
          <w:tcPr>
            <w:tcW w:w="1354" w:type="pct"/>
            <w:hideMark/>
          </w:tcPr>
          <w:p w14:paraId="13A0ABB5" w14:textId="77777777" w:rsidR="006B7436" w:rsidRPr="00300EA0" w:rsidRDefault="006B7436"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40/30 (71.4/28.6)</w:t>
            </w:r>
          </w:p>
        </w:tc>
        <w:tc>
          <w:tcPr>
            <w:tcW w:w="453" w:type="pct"/>
          </w:tcPr>
          <w:p w14:paraId="15E804BE" w14:textId="140C9B6B" w:rsidR="006B7436" w:rsidRPr="00300EA0" w:rsidRDefault="0012033D"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0.90</w:t>
            </w:r>
          </w:p>
        </w:tc>
      </w:tr>
      <w:tr w:rsidR="006B7436" w:rsidRPr="00300EA0" w14:paraId="53D23096" w14:textId="77777777" w:rsidTr="00117984">
        <w:trPr>
          <w:trHeight w:val="143"/>
        </w:trPr>
        <w:tc>
          <w:tcPr>
            <w:tcW w:w="1766" w:type="pct"/>
            <w:shd w:val="clear" w:color="auto" w:fill="auto"/>
            <w:hideMark/>
          </w:tcPr>
          <w:p w14:paraId="112EEF7E" w14:textId="77777777" w:rsidR="006B7436" w:rsidRPr="00300EA0" w:rsidRDefault="006B7436" w:rsidP="00AF5787">
            <w:pPr>
              <w:spacing w:before="60" w:after="60" w:line="240" w:lineRule="auto"/>
              <w:rPr>
                <w:rFonts w:asciiTheme="majorBidi" w:hAnsiTheme="majorBidi" w:cstheme="majorBidi"/>
                <w:b/>
                <w:bCs/>
                <w:sz w:val="24"/>
                <w:szCs w:val="24"/>
              </w:rPr>
            </w:pPr>
            <w:r w:rsidRPr="00300EA0">
              <w:rPr>
                <w:rFonts w:asciiTheme="majorBidi" w:hAnsiTheme="majorBidi" w:cstheme="majorBidi"/>
                <w:b/>
                <w:bCs/>
                <w:sz w:val="24"/>
                <w:szCs w:val="24"/>
              </w:rPr>
              <w:t>Comorbid diseases*</w:t>
            </w:r>
          </w:p>
        </w:tc>
        <w:tc>
          <w:tcPr>
            <w:tcW w:w="1427" w:type="pct"/>
            <w:shd w:val="clear" w:color="auto" w:fill="auto"/>
            <w:hideMark/>
          </w:tcPr>
          <w:p w14:paraId="50A66D45" w14:textId="77777777" w:rsidR="006B7436" w:rsidRPr="00300EA0" w:rsidRDefault="006B7436"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17 (56.7)</w:t>
            </w:r>
          </w:p>
        </w:tc>
        <w:tc>
          <w:tcPr>
            <w:tcW w:w="1354" w:type="pct"/>
            <w:shd w:val="clear" w:color="auto" w:fill="auto"/>
            <w:hideMark/>
          </w:tcPr>
          <w:p w14:paraId="1BBAD3C3" w14:textId="77777777" w:rsidR="006B7436" w:rsidRPr="00300EA0" w:rsidRDefault="006B7436"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19 (27.1)</w:t>
            </w:r>
          </w:p>
        </w:tc>
        <w:tc>
          <w:tcPr>
            <w:tcW w:w="453" w:type="pct"/>
            <w:shd w:val="clear" w:color="auto" w:fill="auto"/>
            <w:hideMark/>
          </w:tcPr>
          <w:p w14:paraId="695A99FB" w14:textId="77777777" w:rsidR="006B7436" w:rsidRPr="00300EA0" w:rsidRDefault="006B7436"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0.005</w:t>
            </w:r>
          </w:p>
        </w:tc>
      </w:tr>
      <w:tr w:rsidR="006B7436" w:rsidRPr="00300EA0" w14:paraId="6CA908E6" w14:textId="77777777" w:rsidTr="00300EA0">
        <w:trPr>
          <w:trHeight w:val="215"/>
        </w:trPr>
        <w:tc>
          <w:tcPr>
            <w:tcW w:w="1766" w:type="pct"/>
            <w:hideMark/>
          </w:tcPr>
          <w:p w14:paraId="419ED4BE" w14:textId="770612BB" w:rsidR="006B7436" w:rsidRPr="00300EA0" w:rsidRDefault="006B7436" w:rsidP="00AF5787">
            <w:pPr>
              <w:spacing w:before="60" w:after="60" w:line="240" w:lineRule="auto"/>
              <w:rPr>
                <w:rFonts w:asciiTheme="majorBidi" w:hAnsiTheme="majorBidi" w:cstheme="majorBidi"/>
                <w:b/>
                <w:bCs/>
                <w:sz w:val="24"/>
                <w:szCs w:val="24"/>
              </w:rPr>
            </w:pPr>
            <w:r w:rsidRPr="00300EA0">
              <w:rPr>
                <w:rFonts w:asciiTheme="majorBidi" w:hAnsiTheme="majorBidi" w:cstheme="majorBidi"/>
                <w:b/>
                <w:bCs/>
                <w:sz w:val="24"/>
                <w:szCs w:val="24"/>
              </w:rPr>
              <w:t>Duration of symptoms</w:t>
            </w:r>
            <w:r w:rsidR="00325311" w:rsidRPr="00300EA0">
              <w:rPr>
                <w:rFonts w:asciiTheme="majorBidi" w:hAnsiTheme="majorBidi" w:cstheme="majorBidi"/>
                <w:b/>
                <w:bCs/>
                <w:sz w:val="24"/>
                <w:szCs w:val="24"/>
              </w:rPr>
              <w:t>(days)</w:t>
            </w:r>
          </w:p>
        </w:tc>
        <w:tc>
          <w:tcPr>
            <w:tcW w:w="1427" w:type="pct"/>
          </w:tcPr>
          <w:p w14:paraId="0554463B" w14:textId="245682AD" w:rsidR="006B7436" w:rsidRPr="00300EA0" w:rsidRDefault="006B7436"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8.11 ± 2.22</w:t>
            </w:r>
          </w:p>
        </w:tc>
        <w:tc>
          <w:tcPr>
            <w:tcW w:w="1354" w:type="pct"/>
          </w:tcPr>
          <w:p w14:paraId="0D170AAC" w14:textId="25DFDB13" w:rsidR="006B7436" w:rsidRPr="00300EA0" w:rsidRDefault="006B7436"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8.90 ± 3.11</w:t>
            </w:r>
          </w:p>
        </w:tc>
        <w:tc>
          <w:tcPr>
            <w:tcW w:w="453" w:type="pct"/>
          </w:tcPr>
          <w:p w14:paraId="480115AA" w14:textId="17E43289" w:rsidR="006B7436" w:rsidRPr="00300EA0" w:rsidRDefault="006B7436"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0.90</w:t>
            </w:r>
          </w:p>
        </w:tc>
      </w:tr>
      <w:tr w:rsidR="009B741A" w:rsidRPr="00300EA0" w14:paraId="49F1E67F" w14:textId="77777777" w:rsidTr="00300EA0">
        <w:trPr>
          <w:trHeight w:val="215"/>
        </w:trPr>
        <w:tc>
          <w:tcPr>
            <w:tcW w:w="1766" w:type="pct"/>
            <w:hideMark/>
          </w:tcPr>
          <w:p w14:paraId="2BC76035" w14:textId="77777777" w:rsidR="009B741A" w:rsidRPr="00300EA0" w:rsidRDefault="009B741A" w:rsidP="00AF5787">
            <w:pPr>
              <w:spacing w:before="60" w:after="60" w:line="240" w:lineRule="auto"/>
              <w:rPr>
                <w:rFonts w:asciiTheme="majorBidi" w:hAnsiTheme="majorBidi" w:cstheme="majorBidi"/>
                <w:b/>
                <w:bCs/>
                <w:sz w:val="24"/>
                <w:szCs w:val="24"/>
              </w:rPr>
            </w:pPr>
            <w:r w:rsidRPr="00300EA0">
              <w:rPr>
                <w:rFonts w:asciiTheme="majorBidi" w:hAnsiTheme="majorBidi" w:cstheme="majorBidi"/>
                <w:b/>
                <w:bCs/>
                <w:sz w:val="24"/>
                <w:szCs w:val="24"/>
              </w:rPr>
              <w:t>Severe disease</w:t>
            </w:r>
          </w:p>
        </w:tc>
        <w:tc>
          <w:tcPr>
            <w:tcW w:w="1427" w:type="pct"/>
          </w:tcPr>
          <w:p w14:paraId="1AC2A673" w14:textId="121B95E8" w:rsidR="009B741A" w:rsidRPr="00300EA0" w:rsidRDefault="009B741A"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2 (6.7%)</w:t>
            </w:r>
          </w:p>
        </w:tc>
        <w:tc>
          <w:tcPr>
            <w:tcW w:w="1354" w:type="pct"/>
          </w:tcPr>
          <w:p w14:paraId="38785169" w14:textId="4752A9EA" w:rsidR="009B741A" w:rsidRPr="00300EA0" w:rsidRDefault="009B741A"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40 (57.1%)</w:t>
            </w:r>
          </w:p>
        </w:tc>
        <w:tc>
          <w:tcPr>
            <w:tcW w:w="453" w:type="pct"/>
          </w:tcPr>
          <w:p w14:paraId="7AD7F57E" w14:textId="494D5E88" w:rsidR="009B741A" w:rsidRPr="00300EA0" w:rsidRDefault="009B741A"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b/>
                <w:bCs/>
                <w:sz w:val="24"/>
                <w:szCs w:val="24"/>
              </w:rPr>
              <w:t>&lt; 0.001</w:t>
            </w:r>
          </w:p>
        </w:tc>
      </w:tr>
      <w:tr w:rsidR="009B741A" w:rsidRPr="00300EA0" w14:paraId="7FAFD6EB" w14:textId="77777777" w:rsidTr="00300EA0">
        <w:trPr>
          <w:trHeight w:val="249"/>
        </w:trPr>
        <w:tc>
          <w:tcPr>
            <w:tcW w:w="1766" w:type="pct"/>
            <w:hideMark/>
          </w:tcPr>
          <w:p w14:paraId="60247C6A" w14:textId="77777777" w:rsidR="009B741A" w:rsidRPr="00300EA0" w:rsidRDefault="009B741A" w:rsidP="00AF5787">
            <w:pPr>
              <w:spacing w:before="60" w:after="60" w:line="240" w:lineRule="auto"/>
              <w:rPr>
                <w:rFonts w:asciiTheme="majorBidi" w:hAnsiTheme="majorBidi" w:cstheme="majorBidi"/>
                <w:b/>
                <w:bCs/>
                <w:sz w:val="24"/>
                <w:szCs w:val="24"/>
              </w:rPr>
            </w:pPr>
            <w:r w:rsidRPr="00300EA0">
              <w:rPr>
                <w:rFonts w:asciiTheme="majorBidi" w:hAnsiTheme="majorBidi" w:cstheme="majorBidi"/>
                <w:b/>
                <w:bCs/>
                <w:sz w:val="24"/>
                <w:szCs w:val="24"/>
              </w:rPr>
              <w:t xml:space="preserve">Anosmia </w:t>
            </w:r>
          </w:p>
        </w:tc>
        <w:tc>
          <w:tcPr>
            <w:tcW w:w="1427" w:type="pct"/>
          </w:tcPr>
          <w:p w14:paraId="72C5C605" w14:textId="39CF22D7" w:rsidR="009B741A" w:rsidRPr="00300EA0" w:rsidRDefault="009B741A"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10 (33.3%)</w:t>
            </w:r>
          </w:p>
        </w:tc>
        <w:tc>
          <w:tcPr>
            <w:tcW w:w="1354" w:type="pct"/>
          </w:tcPr>
          <w:p w14:paraId="284AB404" w14:textId="5A7853D1" w:rsidR="009B741A" w:rsidRPr="00300EA0" w:rsidRDefault="009B741A"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30 (42.8%)</w:t>
            </w:r>
          </w:p>
        </w:tc>
        <w:tc>
          <w:tcPr>
            <w:tcW w:w="453" w:type="pct"/>
          </w:tcPr>
          <w:p w14:paraId="54E8BD37" w14:textId="55345E3A" w:rsidR="009B741A" w:rsidRPr="00300EA0" w:rsidRDefault="009B741A"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0.34</w:t>
            </w:r>
          </w:p>
        </w:tc>
      </w:tr>
      <w:tr w:rsidR="009B741A" w:rsidRPr="00300EA0" w14:paraId="768B1905" w14:textId="77777777" w:rsidTr="00300EA0">
        <w:trPr>
          <w:trHeight w:val="235"/>
        </w:trPr>
        <w:tc>
          <w:tcPr>
            <w:tcW w:w="1766" w:type="pct"/>
            <w:hideMark/>
          </w:tcPr>
          <w:p w14:paraId="17D503D0" w14:textId="77777777" w:rsidR="009B741A" w:rsidRPr="00300EA0" w:rsidRDefault="009B741A" w:rsidP="00AF5787">
            <w:pPr>
              <w:spacing w:before="60" w:after="60" w:line="240" w:lineRule="auto"/>
              <w:rPr>
                <w:rFonts w:asciiTheme="majorBidi" w:hAnsiTheme="majorBidi" w:cstheme="majorBidi"/>
                <w:b/>
                <w:bCs/>
                <w:sz w:val="24"/>
                <w:szCs w:val="24"/>
              </w:rPr>
            </w:pPr>
            <w:r w:rsidRPr="00300EA0">
              <w:rPr>
                <w:rFonts w:asciiTheme="majorBidi" w:hAnsiTheme="majorBidi" w:cstheme="majorBidi"/>
                <w:b/>
                <w:bCs/>
                <w:sz w:val="24"/>
                <w:szCs w:val="24"/>
              </w:rPr>
              <w:t xml:space="preserve">Diarrhea </w:t>
            </w:r>
          </w:p>
        </w:tc>
        <w:tc>
          <w:tcPr>
            <w:tcW w:w="1427" w:type="pct"/>
          </w:tcPr>
          <w:p w14:paraId="62000193" w14:textId="550FC716" w:rsidR="009B741A" w:rsidRPr="00300EA0" w:rsidRDefault="009B741A"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5 (16.7%)</w:t>
            </w:r>
          </w:p>
        </w:tc>
        <w:tc>
          <w:tcPr>
            <w:tcW w:w="1354" w:type="pct"/>
          </w:tcPr>
          <w:p w14:paraId="35495B64" w14:textId="59558609" w:rsidR="009B741A" w:rsidRPr="00300EA0" w:rsidRDefault="009B741A"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10 (14.3%)</w:t>
            </w:r>
          </w:p>
        </w:tc>
        <w:tc>
          <w:tcPr>
            <w:tcW w:w="453" w:type="pct"/>
          </w:tcPr>
          <w:p w14:paraId="5A43CFE3" w14:textId="4103E874" w:rsidR="009B741A" w:rsidRPr="00300EA0" w:rsidRDefault="009B741A"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0.19</w:t>
            </w:r>
          </w:p>
        </w:tc>
      </w:tr>
      <w:tr w:rsidR="009B741A" w:rsidRPr="00300EA0" w14:paraId="72457DC7" w14:textId="77777777" w:rsidTr="00300EA0">
        <w:trPr>
          <w:trHeight w:val="249"/>
        </w:trPr>
        <w:tc>
          <w:tcPr>
            <w:tcW w:w="1766" w:type="pct"/>
            <w:hideMark/>
          </w:tcPr>
          <w:p w14:paraId="514BC1B0" w14:textId="77777777" w:rsidR="009B741A" w:rsidRPr="00300EA0" w:rsidRDefault="009B741A" w:rsidP="00AF5787">
            <w:pPr>
              <w:spacing w:before="60" w:after="60" w:line="240" w:lineRule="auto"/>
              <w:rPr>
                <w:rFonts w:asciiTheme="majorBidi" w:hAnsiTheme="majorBidi" w:cstheme="majorBidi"/>
                <w:b/>
                <w:bCs/>
                <w:sz w:val="24"/>
                <w:szCs w:val="24"/>
              </w:rPr>
            </w:pPr>
            <w:r w:rsidRPr="00300EA0">
              <w:rPr>
                <w:rFonts w:asciiTheme="majorBidi" w:hAnsiTheme="majorBidi" w:cstheme="majorBidi"/>
                <w:b/>
                <w:bCs/>
                <w:sz w:val="24"/>
                <w:szCs w:val="24"/>
              </w:rPr>
              <w:t xml:space="preserve">Fever </w:t>
            </w:r>
          </w:p>
        </w:tc>
        <w:tc>
          <w:tcPr>
            <w:tcW w:w="1427" w:type="pct"/>
          </w:tcPr>
          <w:p w14:paraId="625253ED" w14:textId="4DF9742B" w:rsidR="009B741A" w:rsidRPr="00300EA0" w:rsidRDefault="009B741A"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25 (83.3%)</w:t>
            </w:r>
          </w:p>
        </w:tc>
        <w:tc>
          <w:tcPr>
            <w:tcW w:w="1354" w:type="pct"/>
          </w:tcPr>
          <w:p w14:paraId="0B6AA6E2" w14:textId="75EA8124" w:rsidR="009B741A" w:rsidRPr="00300EA0" w:rsidRDefault="009B741A"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60 (85.7%)</w:t>
            </w:r>
          </w:p>
        </w:tc>
        <w:tc>
          <w:tcPr>
            <w:tcW w:w="453" w:type="pct"/>
          </w:tcPr>
          <w:p w14:paraId="1590E247" w14:textId="40693505" w:rsidR="009B741A" w:rsidRPr="00300EA0" w:rsidRDefault="009B741A"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0.09</w:t>
            </w:r>
          </w:p>
        </w:tc>
      </w:tr>
      <w:tr w:rsidR="009B741A" w:rsidRPr="00300EA0" w14:paraId="5502DD5A" w14:textId="77777777" w:rsidTr="00300EA0">
        <w:trPr>
          <w:trHeight w:val="249"/>
        </w:trPr>
        <w:tc>
          <w:tcPr>
            <w:tcW w:w="1766" w:type="pct"/>
            <w:hideMark/>
          </w:tcPr>
          <w:p w14:paraId="6EF74023" w14:textId="77777777" w:rsidR="009B741A" w:rsidRPr="00300EA0" w:rsidRDefault="009B741A" w:rsidP="00AF5787">
            <w:pPr>
              <w:spacing w:before="60" w:after="60" w:line="240" w:lineRule="auto"/>
              <w:rPr>
                <w:rFonts w:asciiTheme="majorBidi" w:hAnsiTheme="majorBidi" w:cstheme="majorBidi"/>
                <w:b/>
                <w:bCs/>
                <w:sz w:val="24"/>
                <w:szCs w:val="24"/>
              </w:rPr>
            </w:pPr>
            <w:r w:rsidRPr="00300EA0">
              <w:rPr>
                <w:rFonts w:asciiTheme="majorBidi" w:hAnsiTheme="majorBidi" w:cstheme="majorBidi"/>
                <w:b/>
                <w:bCs/>
                <w:sz w:val="24"/>
                <w:szCs w:val="24"/>
              </w:rPr>
              <w:t xml:space="preserve">Dyspnea </w:t>
            </w:r>
          </w:p>
        </w:tc>
        <w:tc>
          <w:tcPr>
            <w:tcW w:w="1427" w:type="pct"/>
          </w:tcPr>
          <w:p w14:paraId="1E6480DE" w14:textId="1F23CCB9" w:rsidR="009B741A" w:rsidRPr="00300EA0" w:rsidRDefault="009B741A"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21 (70%)</w:t>
            </w:r>
          </w:p>
        </w:tc>
        <w:tc>
          <w:tcPr>
            <w:tcW w:w="1354" w:type="pct"/>
          </w:tcPr>
          <w:p w14:paraId="10B08BC2" w14:textId="3B7188C2" w:rsidR="009B741A" w:rsidRPr="00300EA0" w:rsidRDefault="009B741A"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56 (80%)</w:t>
            </w:r>
          </w:p>
        </w:tc>
        <w:tc>
          <w:tcPr>
            <w:tcW w:w="453" w:type="pct"/>
          </w:tcPr>
          <w:p w14:paraId="5FEE5369" w14:textId="0D98531F" w:rsidR="009B741A" w:rsidRPr="00300EA0" w:rsidRDefault="009B741A" w:rsidP="00AF5787">
            <w:pPr>
              <w:spacing w:before="60" w:after="60" w:line="240" w:lineRule="auto"/>
              <w:jc w:val="center"/>
              <w:rPr>
                <w:rFonts w:asciiTheme="majorBidi" w:hAnsiTheme="majorBidi" w:cstheme="majorBidi"/>
                <w:sz w:val="24"/>
                <w:szCs w:val="24"/>
                <w:lang w:bidi="ar-EG"/>
              </w:rPr>
            </w:pPr>
            <w:r w:rsidRPr="00300EA0">
              <w:rPr>
                <w:rFonts w:asciiTheme="majorBidi" w:hAnsiTheme="majorBidi" w:cstheme="majorBidi"/>
                <w:sz w:val="24"/>
                <w:szCs w:val="24"/>
              </w:rPr>
              <w:t>0.07</w:t>
            </w:r>
          </w:p>
        </w:tc>
      </w:tr>
      <w:tr w:rsidR="009B741A" w:rsidRPr="00300EA0" w14:paraId="2F86E1E3" w14:textId="77777777" w:rsidTr="00300EA0">
        <w:trPr>
          <w:trHeight w:val="235"/>
        </w:trPr>
        <w:tc>
          <w:tcPr>
            <w:tcW w:w="1766" w:type="pct"/>
            <w:hideMark/>
          </w:tcPr>
          <w:p w14:paraId="69F2A959" w14:textId="77777777" w:rsidR="009B741A" w:rsidRPr="00300EA0" w:rsidRDefault="009B741A" w:rsidP="00AF5787">
            <w:pPr>
              <w:spacing w:before="60" w:after="60" w:line="240" w:lineRule="auto"/>
              <w:rPr>
                <w:rFonts w:asciiTheme="majorBidi" w:hAnsiTheme="majorBidi" w:cstheme="majorBidi"/>
                <w:b/>
                <w:bCs/>
                <w:sz w:val="24"/>
                <w:szCs w:val="24"/>
              </w:rPr>
            </w:pPr>
            <w:r w:rsidRPr="00300EA0">
              <w:rPr>
                <w:rFonts w:asciiTheme="majorBidi" w:hAnsiTheme="majorBidi" w:cstheme="majorBidi"/>
                <w:b/>
                <w:bCs/>
                <w:sz w:val="24"/>
                <w:szCs w:val="24"/>
              </w:rPr>
              <w:t xml:space="preserve">Cough </w:t>
            </w:r>
          </w:p>
        </w:tc>
        <w:tc>
          <w:tcPr>
            <w:tcW w:w="1427" w:type="pct"/>
          </w:tcPr>
          <w:p w14:paraId="1D57AB81" w14:textId="27B97B2B" w:rsidR="009B741A" w:rsidRPr="00300EA0" w:rsidRDefault="009B741A"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23 (76.7%)</w:t>
            </w:r>
          </w:p>
        </w:tc>
        <w:tc>
          <w:tcPr>
            <w:tcW w:w="1354" w:type="pct"/>
          </w:tcPr>
          <w:p w14:paraId="475B241E" w14:textId="11B6EF39" w:rsidR="009B741A" w:rsidRPr="00300EA0" w:rsidRDefault="009B741A"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60 (85.7%)</w:t>
            </w:r>
          </w:p>
        </w:tc>
        <w:tc>
          <w:tcPr>
            <w:tcW w:w="453" w:type="pct"/>
          </w:tcPr>
          <w:p w14:paraId="0E856BD7" w14:textId="320425F0" w:rsidR="009B741A" w:rsidRPr="00300EA0" w:rsidRDefault="009B741A"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0.32</w:t>
            </w:r>
          </w:p>
        </w:tc>
      </w:tr>
      <w:tr w:rsidR="009B741A" w:rsidRPr="00300EA0" w14:paraId="546C34D9" w14:textId="77777777" w:rsidTr="00117984">
        <w:trPr>
          <w:trHeight w:val="80"/>
        </w:trPr>
        <w:tc>
          <w:tcPr>
            <w:tcW w:w="1766" w:type="pct"/>
            <w:shd w:val="clear" w:color="auto" w:fill="auto"/>
            <w:hideMark/>
          </w:tcPr>
          <w:p w14:paraId="64947F94" w14:textId="77777777" w:rsidR="009B741A" w:rsidRPr="00300EA0" w:rsidRDefault="009B741A" w:rsidP="00AF5787">
            <w:pPr>
              <w:spacing w:before="60" w:after="60" w:line="240" w:lineRule="auto"/>
              <w:rPr>
                <w:rFonts w:asciiTheme="majorBidi" w:hAnsiTheme="majorBidi" w:cstheme="majorBidi"/>
                <w:b/>
                <w:bCs/>
                <w:sz w:val="24"/>
                <w:szCs w:val="24"/>
              </w:rPr>
            </w:pPr>
            <w:r w:rsidRPr="00300EA0">
              <w:rPr>
                <w:rFonts w:asciiTheme="majorBidi" w:hAnsiTheme="majorBidi" w:cstheme="majorBidi"/>
                <w:b/>
                <w:bCs/>
                <w:sz w:val="24"/>
                <w:szCs w:val="24"/>
              </w:rPr>
              <w:t xml:space="preserve">Pulse oximetry saturation </w:t>
            </w:r>
          </w:p>
        </w:tc>
        <w:tc>
          <w:tcPr>
            <w:tcW w:w="1427" w:type="pct"/>
            <w:shd w:val="clear" w:color="auto" w:fill="auto"/>
          </w:tcPr>
          <w:p w14:paraId="2FEF40DC" w14:textId="40EACBAF" w:rsidR="009B741A" w:rsidRPr="00300EA0" w:rsidRDefault="009B741A" w:rsidP="00AF5787">
            <w:pPr>
              <w:spacing w:before="60" w:after="60" w:line="240" w:lineRule="auto"/>
              <w:jc w:val="center"/>
              <w:rPr>
                <w:rFonts w:asciiTheme="majorBidi" w:hAnsiTheme="majorBidi" w:cstheme="majorBidi"/>
                <w:sz w:val="24"/>
                <w:szCs w:val="24"/>
                <w:lang w:bidi="ar-EG"/>
              </w:rPr>
            </w:pPr>
            <w:r w:rsidRPr="00300EA0">
              <w:rPr>
                <w:rFonts w:asciiTheme="majorBidi" w:hAnsiTheme="majorBidi" w:cstheme="majorBidi"/>
                <w:sz w:val="24"/>
                <w:szCs w:val="24"/>
              </w:rPr>
              <w:t>93.39 ± 13.11</w:t>
            </w:r>
          </w:p>
        </w:tc>
        <w:tc>
          <w:tcPr>
            <w:tcW w:w="1354" w:type="pct"/>
            <w:shd w:val="clear" w:color="auto" w:fill="auto"/>
          </w:tcPr>
          <w:p w14:paraId="08980793" w14:textId="0A94D8F0" w:rsidR="009B741A" w:rsidRPr="00300EA0" w:rsidRDefault="009B741A"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93.63 ± 15.71</w:t>
            </w:r>
          </w:p>
        </w:tc>
        <w:tc>
          <w:tcPr>
            <w:tcW w:w="453" w:type="pct"/>
            <w:shd w:val="clear" w:color="auto" w:fill="auto"/>
          </w:tcPr>
          <w:p w14:paraId="4B67491A" w14:textId="0B5312EF" w:rsidR="009B741A" w:rsidRPr="00300EA0" w:rsidRDefault="009B741A"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0.89</w:t>
            </w:r>
          </w:p>
        </w:tc>
      </w:tr>
      <w:tr w:rsidR="009B741A" w:rsidRPr="00300EA0" w14:paraId="3810F1DC" w14:textId="77777777" w:rsidTr="00300EA0">
        <w:trPr>
          <w:trHeight w:val="235"/>
        </w:trPr>
        <w:tc>
          <w:tcPr>
            <w:tcW w:w="1766" w:type="pct"/>
            <w:hideMark/>
          </w:tcPr>
          <w:p w14:paraId="563450D5" w14:textId="18EAFD38" w:rsidR="009B741A" w:rsidRPr="00300EA0" w:rsidRDefault="009B741A" w:rsidP="00AF5787">
            <w:pPr>
              <w:spacing w:before="60" w:after="60" w:line="240" w:lineRule="auto"/>
              <w:rPr>
                <w:rFonts w:asciiTheme="majorBidi" w:hAnsiTheme="majorBidi" w:cstheme="majorBidi"/>
                <w:b/>
                <w:bCs/>
                <w:sz w:val="24"/>
                <w:szCs w:val="24"/>
              </w:rPr>
            </w:pPr>
            <w:r w:rsidRPr="00300EA0">
              <w:rPr>
                <w:rFonts w:asciiTheme="majorBidi" w:hAnsiTheme="majorBidi" w:cstheme="majorBidi"/>
                <w:b/>
                <w:bCs/>
                <w:sz w:val="24"/>
                <w:szCs w:val="24"/>
              </w:rPr>
              <w:t xml:space="preserve">Leucocytes </w:t>
            </w:r>
            <w:r w:rsidR="00325311" w:rsidRPr="00300EA0">
              <w:rPr>
                <w:rFonts w:asciiTheme="majorBidi" w:hAnsiTheme="majorBidi" w:cstheme="majorBidi"/>
                <w:b/>
                <w:bCs/>
                <w:sz w:val="24"/>
                <w:szCs w:val="24"/>
              </w:rPr>
              <w:t>(10</w:t>
            </w:r>
            <w:r w:rsidR="00325311" w:rsidRPr="00300EA0">
              <w:rPr>
                <w:rFonts w:asciiTheme="majorBidi" w:hAnsiTheme="majorBidi" w:cstheme="majorBidi"/>
                <w:b/>
                <w:bCs/>
                <w:sz w:val="24"/>
                <w:szCs w:val="24"/>
                <w:vertAlign w:val="superscript"/>
              </w:rPr>
              <w:t>3</w:t>
            </w:r>
            <w:r w:rsidR="00325311" w:rsidRPr="00300EA0">
              <w:rPr>
                <w:rFonts w:asciiTheme="majorBidi" w:hAnsiTheme="majorBidi" w:cstheme="majorBidi"/>
                <w:b/>
                <w:bCs/>
                <w:sz w:val="24"/>
                <w:szCs w:val="24"/>
              </w:rPr>
              <w:t>/ul)</w:t>
            </w:r>
          </w:p>
        </w:tc>
        <w:tc>
          <w:tcPr>
            <w:tcW w:w="1427" w:type="pct"/>
          </w:tcPr>
          <w:p w14:paraId="300DD9B7" w14:textId="6C7BF13F" w:rsidR="009B741A" w:rsidRPr="00300EA0" w:rsidRDefault="009B741A"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9.11 ± 5.11</w:t>
            </w:r>
          </w:p>
        </w:tc>
        <w:tc>
          <w:tcPr>
            <w:tcW w:w="1354" w:type="pct"/>
          </w:tcPr>
          <w:p w14:paraId="1E660F42" w14:textId="69E2F5D8" w:rsidR="009B741A" w:rsidRPr="00300EA0" w:rsidRDefault="009B741A"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8.80 ± 2.55</w:t>
            </w:r>
          </w:p>
        </w:tc>
        <w:tc>
          <w:tcPr>
            <w:tcW w:w="453" w:type="pct"/>
          </w:tcPr>
          <w:p w14:paraId="4C641F48" w14:textId="42FE5854" w:rsidR="009B741A" w:rsidRPr="00300EA0" w:rsidRDefault="009B741A"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0.10</w:t>
            </w:r>
          </w:p>
        </w:tc>
      </w:tr>
      <w:tr w:rsidR="009B741A" w:rsidRPr="00300EA0" w14:paraId="70E2F883" w14:textId="77777777" w:rsidTr="00300EA0">
        <w:trPr>
          <w:trHeight w:val="76"/>
        </w:trPr>
        <w:tc>
          <w:tcPr>
            <w:tcW w:w="1766" w:type="pct"/>
            <w:hideMark/>
          </w:tcPr>
          <w:p w14:paraId="7D1B638E" w14:textId="1B1EA345" w:rsidR="009B741A" w:rsidRPr="00300EA0" w:rsidRDefault="009B741A" w:rsidP="00AF5787">
            <w:pPr>
              <w:spacing w:before="60" w:after="60" w:line="240" w:lineRule="auto"/>
              <w:rPr>
                <w:rFonts w:asciiTheme="majorBidi" w:hAnsiTheme="majorBidi" w:cstheme="majorBidi"/>
                <w:b/>
                <w:bCs/>
                <w:sz w:val="24"/>
                <w:szCs w:val="24"/>
              </w:rPr>
            </w:pPr>
            <w:r w:rsidRPr="00300EA0">
              <w:rPr>
                <w:rFonts w:asciiTheme="majorBidi" w:hAnsiTheme="majorBidi" w:cstheme="majorBidi"/>
                <w:b/>
                <w:bCs/>
                <w:sz w:val="24"/>
                <w:szCs w:val="24"/>
              </w:rPr>
              <w:lastRenderedPageBreak/>
              <w:t xml:space="preserve">Lymphocytes </w:t>
            </w:r>
            <w:r w:rsidR="00325311" w:rsidRPr="00300EA0">
              <w:rPr>
                <w:rFonts w:asciiTheme="majorBidi" w:hAnsiTheme="majorBidi" w:cstheme="majorBidi"/>
                <w:b/>
                <w:bCs/>
                <w:sz w:val="24"/>
                <w:szCs w:val="24"/>
              </w:rPr>
              <w:t>(10</w:t>
            </w:r>
            <w:r w:rsidR="00325311" w:rsidRPr="00300EA0">
              <w:rPr>
                <w:rFonts w:asciiTheme="majorBidi" w:hAnsiTheme="majorBidi" w:cstheme="majorBidi"/>
                <w:b/>
                <w:bCs/>
                <w:sz w:val="24"/>
                <w:szCs w:val="24"/>
                <w:vertAlign w:val="superscript"/>
              </w:rPr>
              <w:t>3</w:t>
            </w:r>
            <w:r w:rsidR="00325311" w:rsidRPr="00300EA0">
              <w:rPr>
                <w:rFonts w:asciiTheme="majorBidi" w:hAnsiTheme="majorBidi" w:cstheme="majorBidi"/>
                <w:b/>
                <w:bCs/>
                <w:sz w:val="24"/>
                <w:szCs w:val="24"/>
              </w:rPr>
              <w:t>/ul)</w:t>
            </w:r>
          </w:p>
        </w:tc>
        <w:tc>
          <w:tcPr>
            <w:tcW w:w="1427" w:type="pct"/>
          </w:tcPr>
          <w:p w14:paraId="1EC7283D" w14:textId="6B0F7E0A" w:rsidR="009B741A" w:rsidRPr="00300EA0" w:rsidRDefault="009B741A"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1.31 ± 0.71</w:t>
            </w:r>
          </w:p>
        </w:tc>
        <w:tc>
          <w:tcPr>
            <w:tcW w:w="1354" w:type="pct"/>
          </w:tcPr>
          <w:p w14:paraId="595F63FB" w14:textId="4C632311" w:rsidR="009B741A" w:rsidRPr="00300EA0" w:rsidRDefault="009B741A"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0.81 ± 0.34</w:t>
            </w:r>
          </w:p>
        </w:tc>
        <w:tc>
          <w:tcPr>
            <w:tcW w:w="453" w:type="pct"/>
          </w:tcPr>
          <w:p w14:paraId="3B8B7A63" w14:textId="12453080" w:rsidR="009B741A" w:rsidRPr="00300EA0" w:rsidRDefault="009B741A"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0.11</w:t>
            </w:r>
          </w:p>
        </w:tc>
      </w:tr>
      <w:tr w:rsidR="009B741A" w:rsidRPr="00300EA0" w14:paraId="0B538065" w14:textId="77777777" w:rsidTr="00300EA0">
        <w:trPr>
          <w:trHeight w:val="235"/>
        </w:trPr>
        <w:tc>
          <w:tcPr>
            <w:tcW w:w="1766" w:type="pct"/>
            <w:hideMark/>
          </w:tcPr>
          <w:p w14:paraId="4E649D8B" w14:textId="1BEB92B5" w:rsidR="009B741A" w:rsidRPr="00300EA0" w:rsidRDefault="009B741A" w:rsidP="00AF5787">
            <w:pPr>
              <w:spacing w:before="60" w:after="60" w:line="240" w:lineRule="auto"/>
              <w:rPr>
                <w:rFonts w:asciiTheme="majorBidi" w:hAnsiTheme="majorBidi" w:cstheme="majorBidi"/>
                <w:b/>
                <w:bCs/>
                <w:sz w:val="24"/>
                <w:szCs w:val="24"/>
              </w:rPr>
            </w:pPr>
            <w:r w:rsidRPr="00300EA0">
              <w:rPr>
                <w:rFonts w:asciiTheme="majorBidi" w:hAnsiTheme="majorBidi" w:cstheme="majorBidi"/>
                <w:b/>
                <w:bCs/>
                <w:sz w:val="24"/>
                <w:szCs w:val="24"/>
              </w:rPr>
              <w:t xml:space="preserve">Hemoglobin </w:t>
            </w:r>
            <w:r w:rsidR="00325311" w:rsidRPr="00300EA0">
              <w:rPr>
                <w:rFonts w:asciiTheme="majorBidi" w:hAnsiTheme="majorBidi" w:cstheme="majorBidi"/>
                <w:b/>
                <w:bCs/>
                <w:sz w:val="24"/>
                <w:szCs w:val="24"/>
              </w:rPr>
              <w:t>(g/dl)</w:t>
            </w:r>
          </w:p>
        </w:tc>
        <w:tc>
          <w:tcPr>
            <w:tcW w:w="1427" w:type="pct"/>
          </w:tcPr>
          <w:p w14:paraId="04FCC32D" w14:textId="03625281" w:rsidR="009B741A" w:rsidRPr="00300EA0" w:rsidRDefault="009B741A"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12.70 ± 2.56</w:t>
            </w:r>
          </w:p>
        </w:tc>
        <w:tc>
          <w:tcPr>
            <w:tcW w:w="1354" w:type="pct"/>
          </w:tcPr>
          <w:p w14:paraId="6FD85B7A" w14:textId="6E03D496" w:rsidR="009B741A" w:rsidRPr="00300EA0" w:rsidRDefault="009B741A"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9.98 ± 2.11</w:t>
            </w:r>
          </w:p>
        </w:tc>
        <w:tc>
          <w:tcPr>
            <w:tcW w:w="453" w:type="pct"/>
          </w:tcPr>
          <w:p w14:paraId="5A3A581F" w14:textId="23FF6166" w:rsidR="009B741A" w:rsidRPr="00300EA0" w:rsidRDefault="009B741A"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b/>
                <w:bCs/>
                <w:sz w:val="24"/>
                <w:szCs w:val="24"/>
              </w:rPr>
              <w:t>&lt; 0.001</w:t>
            </w:r>
          </w:p>
        </w:tc>
      </w:tr>
      <w:tr w:rsidR="009B741A" w:rsidRPr="00300EA0" w14:paraId="444CB879" w14:textId="77777777" w:rsidTr="00300EA0">
        <w:trPr>
          <w:trHeight w:val="249"/>
        </w:trPr>
        <w:tc>
          <w:tcPr>
            <w:tcW w:w="1766" w:type="pct"/>
            <w:hideMark/>
          </w:tcPr>
          <w:p w14:paraId="1D716215" w14:textId="798381BD" w:rsidR="009B741A" w:rsidRPr="00300EA0" w:rsidRDefault="009B741A" w:rsidP="00AF5787">
            <w:pPr>
              <w:spacing w:before="60" w:after="60" w:line="240" w:lineRule="auto"/>
              <w:rPr>
                <w:rFonts w:asciiTheme="majorBidi" w:hAnsiTheme="majorBidi" w:cstheme="majorBidi"/>
                <w:b/>
                <w:bCs/>
                <w:sz w:val="24"/>
                <w:szCs w:val="24"/>
              </w:rPr>
            </w:pPr>
            <w:r w:rsidRPr="00300EA0">
              <w:rPr>
                <w:rFonts w:asciiTheme="majorBidi" w:hAnsiTheme="majorBidi" w:cstheme="majorBidi"/>
                <w:b/>
                <w:bCs/>
                <w:sz w:val="24"/>
                <w:szCs w:val="24"/>
              </w:rPr>
              <w:t xml:space="preserve">Platelets </w:t>
            </w:r>
            <w:r w:rsidR="00325311" w:rsidRPr="00300EA0">
              <w:rPr>
                <w:rFonts w:asciiTheme="majorBidi" w:hAnsiTheme="majorBidi" w:cstheme="majorBidi"/>
                <w:b/>
                <w:bCs/>
                <w:sz w:val="24"/>
                <w:szCs w:val="24"/>
              </w:rPr>
              <w:t>(10</w:t>
            </w:r>
            <w:r w:rsidR="00325311" w:rsidRPr="00300EA0">
              <w:rPr>
                <w:rFonts w:asciiTheme="majorBidi" w:hAnsiTheme="majorBidi" w:cstheme="majorBidi"/>
                <w:b/>
                <w:bCs/>
                <w:sz w:val="24"/>
                <w:szCs w:val="24"/>
                <w:vertAlign w:val="superscript"/>
              </w:rPr>
              <w:t>3</w:t>
            </w:r>
            <w:r w:rsidR="00325311" w:rsidRPr="00300EA0">
              <w:rPr>
                <w:rFonts w:asciiTheme="majorBidi" w:hAnsiTheme="majorBidi" w:cstheme="majorBidi"/>
                <w:b/>
                <w:bCs/>
                <w:sz w:val="24"/>
                <w:szCs w:val="24"/>
              </w:rPr>
              <w:t>/ul)</w:t>
            </w:r>
          </w:p>
        </w:tc>
        <w:tc>
          <w:tcPr>
            <w:tcW w:w="1427" w:type="pct"/>
          </w:tcPr>
          <w:p w14:paraId="21CC8CBB" w14:textId="174856E8" w:rsidR="009B741A" w:rsidRPr="00300EA0" w:rsidRDefault="009B741A"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267.09 ± 112.22</w:t>
            </w:r>
          </w:p>
        </w:tc>
        <w:tc>
          <w:tcPr>
            <w:tcW w:w="1354" w:type="pct"/>
          </w:tcPr>
          <w:p w14:paraId="3F3FB840" w14:textId="4D3AB562" w:rsidR="009B741A" w:rsidRPr="00300EA0" w:rsidRDefault="009B741A"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101.34 ± 24.99</w:t>
            </w:r>
          </w:p>
        </w:tc>
        <w:tc>
          <w:tcPr>
            <w:tcW w:w="453" w:type="pct"/>
          </w:tcPr>
          <w:p w14:paraId="0A8C52AF" w14:textId="604D45CB" w:rsidR="009B741A" w:rsidRPr="00300EA0" w:rsidRDefault="009B741A"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b/>
                <w:bCs/>
                <w:sz w:val="24"/>
                <w:szCs w:val="24"/>
              </w:rPr>
              <w:t>&lt; 0.001</w:t>
            </w:r>
          </w:p>
        </w:tc>
      </w:tr>
      <w:tr w:rsidR="009B741A" w:rsidRPr="00300EA0" w14:paraId="063BEF44" w14:textId="77777777" w:rsidTr="00300EA0">
        <w:trPr>
          <w:trHeight w:val="235"/>
        </w:trPr>
        <w:tc>
          <w:tcPr>
            <w:tcW w:w="1766" w:type="pct"/>
            <w:hideMark/>
          </w:tcPr>
          <w:p w14:paraId="4E4DDCF0" w14:textId="2EDDDEE8" w:rsidR="009B741A" w:rsidRPr="00300EA0" w:rsidRDefault="009B741A" w:rsidP="00AF5787">
            <w:pPr>
              <w:spacing w:before="60" w:after="60" w:line="240" w:lineRule="auto"/>
              <w:rPr>
                <w:rFonts w:asciiTheme="majorBidi" w:hAnsiTheme="majorBidi" w:cstheme="majorBidi"/>
                <w:b/>
                <w:bCs/>
                <w:sz w:val="24"/>
                <w:szCs w:val="24"/>
              </w:rPr>
            </w:pPr>
            <w:r w:rsidRPr="00300EA0">
              <w:rPr>
                <w:rFonts w:asciiTheme="majorBidi" w:hAnsiTheme="majorBidi" w:cstheme="majorBidi"/>
                <w:b/>
                <w:bCs/>
                <w:sz w:val="24"/>
                <w:szCs w:val="24"/>
              </w:rPr>
              <w:t>Creatinine</w:t>
            </w:r>
            <w:r w:rsidR="00325311" w:rsidRPr="00300EA0">
              <w:rPr>
                <w:rFonts w:asciiTheme="majorBidi" w:hAnsiTheme="majorBidi" w:cstheme="majorBidi"/>
                <w:b/>
                <w:bCs/>
                <w:sz w:val="24"/>
                <w:szCs w:val="24"/>
              </w:rPr>
              <w:t xml:space="preserve"> (mmol/l)</w:t>
            </w:r>
          </w:p>
        </w:tc>
        <w:tc>
          <w:tcPr>
            <w:tcW w:w="1427" w:type="pct"/>
          </w:tcPr>
          <w:p w14:paraId="1C21BB02" w14:textId="0ACF0C89" w:rsidR="009B741A" w:rsidRPr="00300EA0" w:rsidRDefault="009B741A"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101.87 ± 24.66</w:t>
            </w:r>
          </w:p>
        </w:tc>
        <w:tc>
          <w:tcPr>
            <w:tcW w:w="1354" w:type="pct"/>
          </w:tcPr>
          <w:p w14:paraId="550FEAB5" w14:textId="4420A050" w:rsidR="009B741A" w:rsidRPr="00300EA0" w:rsidRDefault="009B741A"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105.55 ± 33.87</w:t>
            </w:r>
          </w:p>
        </w:tc>
        <w:tc>
          <w:tcPr>
            <w:tcW w:w="453" w:type="pct"/>
          </w:tcPr>
          <w:p w14:paraId="5EABF752" w14:textId="32B2EDE9" w:rsidR="009B741A" w:rsidRPr="00300EA0" w:rsidRDefault="009B741A"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0.46</w:t>
            </w:r>
          </w:p>
        </w:tc>
      </w:tr>
      <w:tr w:rsidR="009B741A" w:rsidRPr="00300EA0" w14:paraId="1563514A" w14:textId="77777777" w:rsidTr="00117984">
        <w:trPr>
          <w:trHeight w:val="249"/>
        </w:trPr>
        <w:tc>
          <w:tcPr>
            <w:tcW w:w="1766" w:type="pct"/>
            <w:shd w:val="clear" w:color="auto" w:fill="auto"/>
            <w:hideMark/>
          </w:tcPr>
          <w:p w14:paraId="4456BB73" w14:textId="5453D34C" w:rsidR="009B741A" w:rsidRPr="00300EA0" w:rsidRDefault="009B741A" w:rsidP="00AF5787">
            <w:pPr>
              <w:spacing w:before="60" w:after="60" w:line="240" w:lineRule="auto"/>
              <w:rPr>
                <w:rFonts w:asciiTheme="majorBidi" w:hAnsiTheme="majorBidi" w:cstheme="majorBidi"/>
                <w:b/>
                <w:bCs/>
                <w:sz w:val="24"/>
                <w:szCs w:val="24"/>
              </w:rPr>
            </w:pPr>
            <w:r w:rsidRPr="00300EA0">
              <w:rPr>
                <w:rFonts w:asciiTheme="majorBidi" w:hAnsiTheme="majorBidi" w:cstheme="majorBidi"/>
                <w:b/>
                <w:bCs/>
                <w:sz w:val="24"/>
                <w:szCs w:val="24"/>
              </w:rPr>
              <w:t>CRP</w:t>
            </w:r>
            <w:r w:rsidR="00325311" w:rsidRPr="00300EA0">
              <w:rPr>
                <w:rFonts w:asciiTheme="majorBidi" w:hAnsiTheme="majorBidi" w:cstheme="majorBidi"/>
                <w:b/>
                <w:bCs/>
                <w:sz w:val="24"/>
                <w:szCs w:val="24"/>
              </w:rPr>
              <w:t xml:space="preserve"> (mg/dl)</w:t>
            </w:r>
          </w:p>
        </w:tc>
        <w:tc>
          <w:tcPr>
            <w:tcW w:w="1427" w:type="pct"/>
            <w:shd w:val="clear" w:color="auto" w:fill="auto"/>
          </w:tcPr>
          <w:p w14:paraId="4E620A03" w14:textId="719CBD03" w:rsidR="009B741A" w:rsidRPr="00300EA0" w:rsidRDefault="009B741A"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70.98 ± 34.56</w:t>
            </w:r>
          </w:p>
        </w:tc>
        <w:tc>
          <w:tcPr>
            <w:tcW w:w="1354" w:type="pct"/>
            <w:shd w:val="clear" w:color="auto" w:fill="auto"/>
          </w:tcPr>
          <w:p w14:paraId="2226E9C3" w14:textId="250C1554" w:rsidR="009B741A" w:rsidRPr="00300EA0" w:rsidRDefault="009B741A"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70.98 ± 34.04</w:t>
            </w:r>
          </w:p>
        </w:tc>
        <w:tc>
          <w:tcPr>
            <w:tcW w:w="453" w:type="pct"/>
            <w:shd w:val="clear" w:color="auto" w:fill="auto"/>
          </w:tcPr>
          <w:p w14:paraId="49E29B0E" w14:textId="5B9AFDDF" w:rsidR="009B741A" w:rsidRPr="00300EA0" w:rsidRDefault="009B741A" w:rsidP="00AF5787">
            <w:pPr>
              <w:spacing w:before="60" w:after="60" w:line="240" w:lineRule="auto"/>
              <w:jc w:val="center"/>
              <w:rPr>
                <w:rFonts w:asciiTheme="majorBidi" w:hAnsiTheme="majorBidi" w:cstheme="majorBidi"/>
                <w:sz w:val="24"/>
                <w:szCs w:val="24"/>
              </w:rPr>
            </w:pPr>
            <w:r w:rsidRPr="00300EA0">
              <w:rPr>
                <w:rFonts w:asciiTheme="majorBidi" w:hAnsiTheme="majorBidi" w:cstheme="majorBidi"/>
                <w:sz w:val="24"/>
                <w:szCs w:val="24"/>
              </w:rPr>
              <w:t>0.45</w:t>
            </w:r>
          </w:p>
        </w:tc>
      </w:tr>
    </w:tbl>
    <w:p w14:paraId="7305C580" w14:textId="77777777" w:rsidR="00D824E3" w:rsidRPr="00957406" w:rsidRDefault="0012033D" w:rsidP="00900B90">
      <w:pPr>
        <w:spacing w:before="120" w:after="0" w:line="360" w:lineRule="auto"/>
        <w:jc w:val="both"/>
        <w:rPr>
          <w:rFonts w:asciiTheme="majorBidi" w:hAnsiTheme="majorBidi" w:cstheme="majorBidi"/>
          <w:color w:val="FF0000"/>
          <w:sz w:val="20"/>
          <w:szCs w:val="20"/>
          <w:lang w:bidi="ar-EG"/>
        </w:rPr>
      </w:pPr>
      <w:r w:rsidRPr="00957406">
        <w:rPr>
          <w:rFonts w:asciiTheme="majorBidi" w:hAnsiTheme="majorBidi" w:cstheme="majorBidi"/>
          <w:color w:val="FF0000"/>
          <w:sz w:val="20"/>
          <w:szCs w:val="20"/>
          <w:lang w:bidi="ar-EG"/>
        </w:rPr>
        <w:t>*</w:t>
      </w:r>
      <w:r w:rsidR="001A122C" w:rsidRPr="00957406">
        <w:rPr>
          <w:rFonts w:asciiTheme="majorBidi" w:hAnsiTheme="majorBidi" w:cstheme="majorBidi"/>
          <w:color w:val="FF0000"/>
          <w:sz w:val="20"/>
          <w:szCs w:val="20"/>
          <w:lang w:bidi="ar-EG"/>
        </w:rPr>
        <w:t>Comorbid diseases</w:t>
      </w:r>
      <w:r w:rsidRPr="00957406">
        <w:rPr>
          <w:rFonts w:asciiTheme="majorBidi" w:hAnsiTheme="majorBidi" w:cstheme="majorBidi"/>
          <w:color w:val="FF0000"/>
          <w:sz w:val="20"/>
          <w:szCs w:val="20"/>
          <w:lang w:bidi="ar-EG"/>
        </w:rPr>
        <w:t xml:space="preserve"> included diabetes mellitus, </w:t>
      </w:r>
      <w:r w:rsidR="00900B90" w:rsidRPr="00957406">
        <w:rPr>
          <w:rFonts w:asciiTheme="majorBidi" w:hAnsiTheme="majorBidi" w:cstheme="majorBidi"/>
          <w:color w:val="FF0000"/>
          <w:sz w:val="20"/>
          <w:szCs w:val="20"/>
          <w:lang w:bidi="ar-EG"/>
        </w:rPr>
        <w:t xml:space="preserve">ischemic heart disease, </w:t>
      </w:r>
      <w:r w:rsidRPr="00957406">
        <w:rPr>
          <w:rFonts w:asciiTheme="majorBidi" w:hAnsiTheme="majorBidi" w:cstheme="majorBidi"/>
          <w:color w:val="FF0000"/>
          <w:sz w:val="20"/>
          <w:szCs w:val="20"/>
          <w:lang w:bidi="ar-EG"/>
        </w:rPr>
        <w:t>systemic hypertension, chronic kidney disease</w:t>
      </w:r>
      <w:r w:rsidR="00D824E3" w:rsidRPr="00957406">
        <w:rPr>
          <w:rFonts w:asciiTheme="majorBidi" w:hAnsiTheme="majorBidi" w:cstheme="majorBidi"/>
          <w:color w:val="FF0000"/>
          <w:sz w:val="20"/>
          <w:szCs w:val="20"/>
          <w:lang w:bidi="ar-EG"/>
        </w:rPr>
        <w:t>.</w:t>
      </w:r>
    </w:p>
    <w:p w14:paraId="007DFA8D" w14:textId="41EE1E9D" w:rsidR="0012033D" w:rsidRPr="00957406" w:rsidRDefault="00D824E3" w:rsidP="00900B90">
      <w:pPr>
        <w:spacing w:before="120" w:after="0" w:line="360" w:lineRule="auto"/>
        <w:jc w:val="both"/>
        <w:rPr>
          <w:rFonts w:asciiTheme="majorBidi" w:hAnsiTheme="majorBidi" w:cstheme="majorBidi"/>
          <w:color w:val="FF0000"/>
          <w:sz w:val="24"/>
          <w:szCs w:val="24"/>
        </w:rPr>
      </w:pPr>
      <w:r w:rsidRPr="00957406">
        <w:rPr>
          <w:rFonts w:asciiTheme="majorBidi" w:hAnsiTheme="majorBidi" w:cstheme="majorBidi"/>
          <w:color w:val="FF0000"/>
          <w:sz w:val="20"/>
          <w:szCs w:val="20"/>
          <w:lang w:bidi="ar-EG"/>
        </w:rPr>
        <w:t xml:space="preserve">* CRP: C reactive </w:t>
      </w:r>
      <w:proofErr w:type="gramStart"/>
      <w:r w:rsidRPr="00957406">
        <w:rPr>
          <w:rFonts w:asciiTheme="majorBidi" w:hAnsiTheme="majorBidi" w:cstheme="majorBidi"/>
          <w:color w:val="FF0000"/>
          <w:sz w:val="20"/>
          <w:szCs w:val="20"/>
          <w:lang w:bidi="ar-EG"/>
        </w:rPr>
        <w:t>protein</w:t>
      </w:r>
      <w:bookmarkStart w:id="1" w:name="_Hlk162885146"/>
      <w:r w:rsidRPr="00957406">
        <w:rPr>
          <w:rFonts w:asciiTheme="majorBidi" w:hAnsiTheme="majorBidi" w:cstheme="majorBidi"/>
          <w:color w:val="FF0000"/>
          <w:sz w:val="20"/>
          <w:szCs w:val="20"/>
          <w:lang w:bidi="ar-EG"/>
        </w:rPr>
        <w:t>.</w:t>
      </w:r>
      <w:r w:rsidR="00957406">
        <w:rPr>
          <w:rFonts w:asciiTheme="majorBidi" w:hAnsiTheme="majorBidi" w:cstheme="majorBidi"/>
          <w:color w:val="FF0000"/>
          <w:sz w:val="20"/>
          <w:szCs w:val="20"/>
          <w:lang w:bidi="ar-EG"/>
        </w:rPr>
        <w:t>(</w:t>
      </w:r>
      <w:proofErr w:type="gramEnd"/>
      <w:r w:rsidR="00957406">
        <w:rPr>
          <w:rFonts w:asciiTheme="majorBidi" w:hAnsiTheme="majorBidi" w:cstheme="majorBidi"/>
          <w:color w:val="FF0000"/>
          <w:sz w:val="20"/>
          <w:szCs w:val="20"/>
          <w:lang w:bidi="ar-EG"/>
        </w:rPr>
        <w:t xml:space="preserve"> revised and done).</w:t>
      </w:r>
      <w:bookmarkEnd w:id="1"/>
    </w:p>
    <w:p w14:paraId="2A4FC480" w14:textId="7C01AFD6" w:rsidR="00D8494A" w:rsidRPr="00793E00" w:rsidRDefault="00793E00" w:rsidP="00AF5787">
      <w:pPr>
        <w:spacing w:before="120" w:after="0" w:line="360" w:lineRule="auto"/>
        <w:ind w:firstLine="720"/>
        <w:jc w:val="both"/>
        <w:rPr>
          <w:rFonts w:asciiTheme="majorBidi" w:hAnsiTheme="majorBidi" w:cstheme="majorBidi"/>
          <w:color w:val="242021"/>
          <w:sz w:val="24"/>
          <w:szCs w:val="24"/>
        </w:rPr>
      </w:pPr>
      <w:r w:rsidRPr="00793E00">
        <w:rPr>
          <w:rFonts w:asciiTheme="majorBidi" w:hAnsiTheme="majorBidi" w:cstheme="majorBidi"/>
          <w:color w:val="242021"/>
          <w:sz w:val="24"/>
          <w:szCs w:val="24"/>
        </w:rPr>
        <w:t>Moreover, p</w:t>
      </w:r>
      <w:r w:rsidR="00D8494A" w:rsidRPr="00793E00">
        <w:rPr>
          <w:rFonts w:asciiTheme="majorBidi" w:hAnsiTheme="majorBidi" w:cstheme="majorBidi"/>
          <w:color w:val="242021"/>
          <w:sz w:val="24"/>
          <w:szCs w:val="24"/>
        </w:rPr>
        <w:t xml:space="preserve">atients with </w:t>
      </w:r>
      <w:r w:rsidR="002F0944" w:rsidRPr="00793E00">
        <w:rPr>
          <w:rFonts w:asciiTheme="majorBidi" w:hAnsiTheme="majorBidi" w:cstheme="majorBidi"/>
          <w:color w:val="242021"/>
          <w:sz w:val="24"/>
          <w:szCs w:val="24"/>
        </w:rPr>
        <w:t>CLD ha</w:t>
      </w:r>
      <w:r w:rsidRPr="00793E00">
        <w:rPr>
          <w:rFonts w:asciiTheme="majorBidi" w:hAnsiTheme="majorBidi" w:cstheme="majorBidi"/>
          <w:color w:val="242021"/>
          <w:sz w:val="24"/>
          <w:szCs w:val="24"/>
        </w:rPr>
        <w:t>d</w:t>
      </w:r>
      <w:r w:rsidR="00D8494A" w:rsidRPr="00793E00">
        <w:rPr>
          <w:rFonts w:asciiTheme="majorBidi" w:hAnsiTheme="majorBidi" w:cstheme="majorBidi"/>
          <w:color w:val="242021"/>
          <w:sz w:val="24"/>
          <w:szCs w:val="24"/>
        </w:rPr>
        <w:t xml:space="preserve"> significant higher frequency of I</w:t>
      </w:r>
      <w:r>
        <w:rPr>
          <w:rFonts w:asciiTheme="majorBidi" w:hAnsiTheme="majorBidi" w:cstheme="majorBidi"/>
          <w:color w:val="242021"/>
          <w:sz w:val="24"/>
          <w:szCs w:val="24"/>
        </w:rPr>
        <w:t>CU</w:t>
      </w:r>
      <w:r w:rsidRPr="00793E00">
        <w:rPr>
          <w:rFonts w:asciiTheme="majorBidi" w:hAnsiTheme="majorBidi" w:cstheme="majorBidi"/>
          <w:color w:val="242021"/>
          <w:sz w:val="24"/>
          <w:szCs w:val="24"/>
        </w:rPr>
        <w:t xml:space="preserve"> admission</w:t>
      </w:r>
      <w:r>
        <w:rPr>
          <w:rFonts w:asciiTheme="majorBidi" w:hAnsiTheme="majorBidi" w:cstheme="majorBidi"/>
          <w:color w:val="242021"/>
          <w:sz w:val="24"/>
          <w:szCs w:val="24"/>
        </w:rPr>
        <w:t>s</w:t>
      </w:r>
      <w:r w:rsidR="00D8494A" w:rsidRPr="00793E00">
        <w:rPr>
          <w:rFonts w:asciiTheme="majorBidi" w:hAnsiTheme="majorBidi" w:cstheme="majorBidi"/>
          <w:color w:val="242021"/>
          <w:sz w:val="24"/>
          <w:szCs w:val="24"/>
        </w:rPr>
        <w:t>, non-invasive ventilation (</w:t>
      </w:r>
      <w:r w:rsidR="002F0944" w:rsidRPr="00793E00">
        <w:rPr>
          <w:rFonts w:asciiTheme="majorBidi" w:hAnsiTheme="majorBidi" w:cstheme="majorBidi"/>
          <w:color w:val="242021"/>
          <w:sz w:val="24"/>
          <w:szCs w:val="24"/>
        </w:rPr>
        <w:t>P</w:t>
      </w:r>
      <w:r w:rsidR="00D8494A" w:rsidRPr="00793E00">
        <w:rPr>
          <w:rFonts w:asciiTheme="majorBidi" w:hAnsiTheme="majorBidi" w:cstheme="majorBidi"/>
          <w:color w:val="242021"/>
          <w:sz w:val="24"/>
          <w:szCs w:val="24"/>
        </w:rPr>
        <w:t>&lt; 0.001) and mechanical ventilation (</w:t>
      </w:r>
      <w:r w:rsidR="002F0944" w:rsidRPr="00793E00">
        <w:rPr>
          <w:rFonts w:asciiTheme="majorBidi" w:hAnsiTheme="majorBidi" w:cstheme="majorBidi"/>
          <w:color w:val="242021"/>
          <w:sz w:val="24"/>
          <w:szCs w:val="24"/>
        </w:rPr>
        <w:t>P</w:t>
      </w:r>
      <w:r w:rsidR="00D8494A" w:rsidRPr="00793E00">
        <w:rPr>
          <w:rFonts w:asciiTheme="majorBidi" w:hAnsiTheme="majorBidi" w:cstheme="majorBidi"/>
          <w:color w:val="242021"/>
          <w:sz w:val="24"/>
          <w:szCs w:val="24"/>
        </w:rPr>
        <w:t>&lt; 0.</w:t>
      </w:r>
      <w:r w:rsidRPr="00793E00">
        <w:rPr>
          <w:rFonts w:asciiTheme="majorBidi" w:hAnsiTheme="majorBidi" w:cstheme="majorBidi"/>
          <w:color w:val="242021"/>
          <w:sz w:val="24"/>
          <w:szCs w:val="24"/>
        </w:rPr>
        <w:t>001) with longer stay</w:t>
      </w:r>
      <w:r>
        <w:rPr>
          <w:rFonts w:asciiTheme="majorBidi" w:hAnsiTheme="majorBidi" w:cstheme="majorBidi"/>
          <w:color w:val="242021"/>
          <w:sz w:val="24"/>
          <w:szCs w:val="24"/>
        </w:rPr>
        <w:t xml:space="preserve"> at ICU (P&lt; 0.001) compared to patients without CLD</w:t>
      </w:r>
      <w:r w:rsidR="00DF4774">
        <w:rPr>
          <w:rFonts w:asciiTheme="majorBidi" w:hAnsiTheme="majorBidi" w:cstheme="majorBidi"/>
          <w:color w:val="242021"/>
          <w:sz w:val="24"/>
          <w:szCs w:val="24"/>
        </w:rPr>
        <w:t xml:space="preserve"> (Table 2)</w:t>
      </w:r>
      <w:r w:rsidR="00D8494A" w:rsidRPr="00793E00">
        <w:rPr>
          <w:rFonts w:asciiTheme="majorBidi" w:hAnsiTheme="majorBidi" w:cstheme="majorBidi"/>
          <w:color w:val="242021"/>
          <w:sz w:val="24"/>
          <w:szCs w:val="24"/>
        </w:rPr>
        <w:t>.</w:t>
      </w:r>
    </w:p>
    <w:p w14:paraId="36A5DACD" w14:textId="4521A220" w:rsidR="00AF5787" w:rsidRDefault="00AF5787">
      <w:pPr>
        <w:spacing w:line="259" w:lineRule="auto"/>
        <w:rPr>
          <w:rFonts w:ascii="Times New Roman" w:eastAsia="Calibri" w:hAnsi="Times New Roman" w:cs="Times New Roman"/>
          <w:b/>
          <w:bCs/>
          <w:sz w:val="24"/>
          <w:szCs w:val="24"/>
          <w:lang w:bidi="ar-EG"/>
        </w:rPr>
      </w:pPr>
    </w:p>
    <w:p w14:paraId="3C5E87AE" w14:textId="46AB59EE" w:rsidR="00793E00" w:rsidRPr="0012033D" w:rsidRDefault="00793E00" w:rsidP="00AF5787">
      <w:pPr>
        <w:spacing w:before="120" w:after="0" w:line="360" w:lineRule="auto"/>
        <w:jc w:val="both"/>
        <w:rPr>
          <w:rFonts w:ascii="Calibri" w:eastAsia="Calibri" w:hAnsi="Calibri" w:cs="Arial"/>
          <w:sz w:val="24"/>
          <w:szCs w:val="24"/>
        </w:rPr>
      </w:pPr>
      <w:r w:rsidRPr="0012033D">
        <w:rPr>
          <w:rFonts w:ascii="Times New Roman" w:eastAsia="Calibri" w:hAnsi="Times New Roman" w:cs="Times New Roman"/>
          <w:b/>
          <w:bCs/>
          <w:sz w:val="24"/>
          <w:szCs w:val="24"/>
          <w:lang w:bidi="ar-EG"/>
        </w:rPr>
        <w:t>Table 2: Lines of therapy and length of ICU stay among the studied COVID</w:t>
      </w:r>
      <w:r w:rsidR="0012033D" w:rsidRPr="0012033D">
        <w:rPr>
          <w:rFonts w:ascii="Times New Roman" w:eastAsia="Calibri" w:hAnsi="Times New Roman" w:cs="Times New Roman"/>
          <w:b/>
          <w:bCs/>
          <w:sz w:val="24"/>
          <w:szCs w:val="24"/>
          <w:lang w:bidi="ar-EG"/>
        </w:rPr>
        <w:t xml:space="preserve"> </w:t>
      </w:r>
      <w:r w:rsidRPr="0012033D">
        <w:rPr>
          <w:rFonts w:ascii="Times New Roman" w:eastAsia="Calibri" w:hAnsi="Times New Roman" w:cs="Times New Roman"/>
          <w:b/>
          <w:bCs/>
          <w:sz w:val="24"/>
          <w:szCs w:val="24"/>
          <w:lang w:bidi="ar-EG"/>
        </w:rPr>
        <w:t>19 patients</w:t>
      </w:r>
    </w:p>
    <w:tbl>
      <w:tblPr>
        <w:tblStyle w:val="TableGrid2"/>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07"/>
        <w:gridCol w:w="2274"/>
        <w:gridCol w:w="2035"/>
        <w:gridCol w:w="1013"/>
      </w:tblGrid>
      <w:tr w:rsidR="001A122C" w:rsidRPr="001A122C" w14:paraId="6F620B8E" w14:textId="77777777" w:rsidTr="00AF5787">
        <w:trPr>
          <w:trHeight w:val="95"/>
        </w:trPr>
        <w:tc>
          <w:tcPr>
            <w:tcW w:w="1880" w:type="pct"/>
            <w:vMerge w:val="restart"/>
            <w:tcBorders>
              <w:top w:val="single" w:sz="18" w:space="0" w:color="auto"/>
              <w:bottom w:val="single" w:sz="4" w:space="0" w:color="auto"/>
            </w:tcBorders>
          </w:tcPr>
          <w:p w14:paraId="73E76620" w14:textId="77777777" w:rsidR="001A122C" w:rsidRPr="001A122C" w:rsidRDefault="001A122C" w:rsidP="00AF5787">
            <w:pPr>
              <w:spacing w:before="60" w:after="60" w:line="240" w:lineRule="auto"/>
              <w:jc w:val="center"/>
            </w:pPr>
          </w:p>
        </w:tc>
        <w:tc>
          <w:tcPr>
            <w:tcW w:w="2526" w:type="pct"/>
            <w:gridSpan w:val="2"/>
            <w:tcBorders>
              <w:top w:val="single" w:sz="18" w:space="0" w:color="auto"/>
              <w:bottom w:val="single" w:sz="4" w:space="0" w:color="auto"/>
            </w:tcBorders>
            <w:hideMark/>
          </w:tcPr>
          <w:p w14:paraId="0F45D0C4" w14:textId="482B0162" w:rsidR="001A122C" w:rsidRPr="008A6F48" w:rsidRDefault="001A122C" w:rsidP="00AF5787">
            <w:pPr>
              <w:spacing w:before="60" w:after="60" w:line="240" w:lineRule="auto"/>
              <w:jc w:val="center"/>
              <w:rPr>
                <w:rFonts w:ascii="Times New Roman" w:hAnsi="Times New Roman" w:cs="Times New Roman"/>
                <w:b/>
                <w:bCs/>
                <w:sz w:val="24"/>
                <w:szCs w:val="24"/>
                <w:lang w:bidi="ar-EG"/>
              </w:rPr>
            </w:pPr>
            <w:r w:rsidRPr="008A6F48">
              <w:rPr>
                <w:rFonts w:ascii="Times New Roman" w:hAnsi="Times New Roman" w:cs="Times New Roman"/>
                <w:b/>
                <w:bCs/>
                <w:sz w:val="24"/>
                <w:szCs w:val="24"/>
                <w:lang w:bidi="ar-EG"/>
              </w:rPr>
              <w:t xml:space="preserve">Patients with </w:t>
            </w:r>
            <w:r w:rsidR="008A6F48" w:rsidRPr="008A6F48">
              <w:rPr>
                <w:rFonts w:ascii="Times New Roman" w:hAnsi="Times New Roman" w:cs="Times New Roman"/>
                <w:b/>
                <w:bCs/>
                <w:sz w:val="24"/>
                <w:szCs w:val="24"/>
                <w:lang w:bidi="ar-EG"/>
              </w:rPr>
              <w:t>chronic</w:t>
            </w:r>
            <w:r w:rsidRPr="008A6F48">
              <w:rPr>
                <w:rFonts w:ascii="Times New Roman" w:hAnsi="Times New Roman" w:cs="Times New Roman"/>
                <w:b/>
                <w:bCs/>
                <w:sz w:val="24"/>
                <w:szCs w:val="24"/>
                <w:lang w:bidi="ar-EG"/>
              </w:rPr>
              <w:t xml:space="preserve"> liver disease</w:t>
            </w:r>
          </w:p>
        </w:tc>
        <w:tc>
          <w:tcPr>
            <w:tcW w:w="595" w:type="pct"/>
            <w:vMerge w:val="restart"/>
            <w:tcBorders>
              <w:top w:val="single" w:sz="18" w:space="0" w:color="auto"/>
              <w:bottom w:val="single" w:sz="4" w:space="0" w:color="auto"/>
            </w:tcBorders>
            <w:vAlign w:val="center"/>
            <w:hideMark/>
          </w:tcPr>
          <w:p w14:paraId="04669B57" w14:textId="77777777" w:rsidR="001A122C" w:rsidRPr="008A6F48" w:rsidRDefault="001A122C" w:rsidP="00AF5787">
            <w:pPr>
              <w:spacing w:before="60" w:after="60" w:line="240" w:lineRule="auto"/>
              <w:jc w:val="center"/>
              <w:rPr>
                <w:rFonts w:ascii="Times New Roman" w:hAnsi="Times New Roman" w:cs="Times New Roman"/>
                <w:b/>
                <w:bCs/>
                <w:sz w:val="24"/>
                <w:szCs w:val="24"/>
                <w:lang w:bidi="ar-EG"/>
              </w:rPr>
            </w:pPr>
            <w:r w:rsidRPr="008A6F48">
              <w:rPr>
                <w:rFonts w:ascii="Times New Roman" w:hAnsi="Times New Roman" w:cs="Times New Roman"/>
                <w:b/>
                <w:bCs/>
                <w:sz w:val="24"/>
                <w:szCs w:val="24"/>
                <w:lang w:bidi="ar-EG"/>
              </w:rPr>
              <w:t>P</w:t>
            </w:r>
          </w:p>
        </w:tc>
      </w:tr>
      <w:tr w:rsidR="001A122C" w:rsidRPr="001A122C" w14:paraId="0FC70C62" w14:textId="77777777" w:rsidTr="00AF5787">
        <w:trPr>
          <w:trHeight w:val="149"/>
        </w:trPr>
        <w:tc>
          <w:tcPr>
            <w:tcW w:w="1880" w:type="pct"/>
            <w:vMerge/>
            <w:tcBorders>
              <w:top w:val="single" w:sz="4" w:space="0" w:color="auto"/>
              <w:bottom w:val="single" w:sz="18" w:space="0" w:color="auto"/>
            </w:tcBorders>
            <w:vAlign w:val="center"/>
            <w:hideMark/>
          </w:tcPr>
          <w:p w14:paraId="1F623435" w14:textId="77777777" w:rsidR="001A122C" w:rsidRPr="001A122C" w:rsidRDefault="001A122C" w:rsidP="00AF5787">
            <w:pPr>
              <w:spacing w:before="60" w:after="60" w:line="240" w:lineRule="auto"/>
            </w:pPr>
          </w:p>
        </w:tc>
        <w:tc>
          <w:tcPr>
            <w:tcW w:w="1333" w:type="pct"/>
            <w:tcBorders>
              <w:top w:val="single" w:sz="4" w:space="0" w:color="auto"/>
              <w:bottom w:val="single" w:sz="18" w:space="0" w:color="auto"/>
            </w:tcBorders>
            <w:hideMark/>
          </w:tcPr>
          <w:p w14:paraId="1579A535" w14:textId="4A49DBDA" w:rsidR="001A122C" w:rsidRPr="008A6F48" w:rsidRDefault="001A122C" w:rsidP="00AF5787">
            <w:pPr>
              <w:spacing w:before="60" w:after="60" w:line="240" w:lineRule="auto"/>
              <w:jc w:val="center"/>
              <w:rPr>
                <w:rFonts w:ascii="Times New Roman" w:hAnsi="Times New Roman" w:cs="Times New Roman"/>
                <w:b/>
                <w:bCs/>
                <w:sz w:val="24"/>
                <w:szCs w:val="24"/>
                <w:lang w:bidi="ar-EG"/>
              </w:rPr>
            </w:pPr>
            <w:r w:rsidRPr="008A6F48">
              <w:rPr>
                <w:rFonts w:ascii="Times New Roman" w:hAnsi="Times New Roman" w:cs="Times New Roman"/>
                <w:b/>
                <w:bCs/>
                <w:sz w:val="24"/>
                <w:szCs w:val="24"/>
                <w:lang w:bidi="ar-EG"/>
              </w:rPr>
              <w:t>No (n=</w:t>
            </w:r>
            <w:r w:rsidR="00793E00" w:rsidRPr="008A6F48">
              <w:rPr>
                <w:rFonts w:ascii="Times New Roman" w:hAnsi="Times New Roman" w:cs="Times New Roman"/>
                <w:b/>
                <w:bCs/>
                <w:sz w:val="24"/>
                <w:szCs w:val="24"/>
                <w:lang w:bidi="ar-EG"/>
              </w:rPr>
              <w:t xml:space="preserve"> 3</w:t>
            </w:r>
            <w:r w:rsidRPr="008A6F48">
              <w:rPr>
                <w:rFonts w:ascii="Times New Roman" w:hAnsi="Times New Roman" w:cs="Times New Roman"/>
                <w:b/>
                <w:bCs/>
                <w:sz w:val="24"/>
                <w:szCs w:val="24"/>
                <w:lang w:bidi="ar-EG"/>
              </w:rPr>
              <w:t>0)</w:t>
            </w:r>
          </w:p>
        </w:tc>
        <w:tc>
          <w:tcPr>
            <w:tcW w:w="1192" w:type="pct"/>
            <w:tcBorders>
              <w:top w:val="single" w:sz="4" w:space="0" w:color="auto"/>
              <w:bottom w:val="single" w:sz="18" w:space="0" w:color="auto"/>
            </w:tcBorders>
            <w:hideMark/>
          </w:tcPr>
          <w:p w14:paraId="76C38E75" w14:textId="3B8CB49A" w:rsidR="001A122C" w:rsidRPr="008A6F48" w:rsidRDefault="001A122C" w:rsidP="00AF5787">
            <w:pPr>
              <w:spacing w:before="60" w:after="60" w:line="240" w:lineRule="auto"/>
              <w:jc w:val="center"/>
              <w:rPr>
                <w:rFonts w:ascii="Times New Roman" w:hAnsi="Times New Roman" w:cs="Times New Roman"/>
                <w:b/>
                <w:bCs/>
                <w:sz w:val="24"/>
                <w:szCs w:val="24"/>
                <w:lang w:bidi="ar-EG"/>
              </w:rPr>
            </w:pPr>
            <w:r w:rsidRPr="008A6F48">
              <w:rPr>
                <w:rFonts w:ascii="Times New Roman" w:hAnsi="Times New Roman" w:cs="Times New Roman"/>
                <w:b/>
                <w:bCs/>
                <w:sz w:val="24"/>
                <w:szCs w:val="24"/>
                <w:lang w:bidi="ar-EG"/>
              </w:rPr>
              <w:t>Yes (n=</w:t>
            </w:r>
            <w:r w:rsidR="00793E00" w:rsidRPr="008A6F48">
              <w:rPr>
                <w:rFonts w:ascii="Times New Roman" w:hAnsi="Times New Roman" w:cs="Times New Roman"/>
                <w:b/>
                <w:bCs/>
                <w:sz w:val="24"/>
                <w:szCs w:val="24"/>
                <w:lang w:bidi="ar-EG"/>
              </w:rPr>
              <w:t xml:space="preserve"> 7</w:t>
            </w:r>
            <w:r w:rsidRPr="008A6F48">
              <w:rPr>
                <w:rFonts w:ascii="Times New Roman" w:hAnsi="Times New Roman" w:cs="Times New Roman"/>
                <w:b/>
                <w:bCs/>
                <w:sz w:val="24"/>
                <w:szCs w:val="24"/>
                <w:lang w:bidi="ar-EG"/>
              </w:rPr>
              <w:t>0)</w:t>
            </w:r>
          </w:p>
        </w:tc>
        <w:tc>
          <w:tcPr>
            <w:tcW w:w="595" w:type="pct"/>
            <w:vMerge/>
            <w:tcBorders>
              <w:top w:val="single" w:sz="4" w:space="0" w:color="auto"/>
              <w:bottom w:val="single" w:sz="18" w:space="0" w:color="auto"/>
            </w:tcBorders>
            <w:vAlign w:val="center"/>
            <w:hideMark/>
          </w:tcPr>
          <w:p w14:paraId="473D2526" w14:textId="77777777" w:rsidR="001A122C" w:rsidRPr="001A122C" w:rsidRDefault="001A122C" w:rsidP="00AF5787">
            <w:pPr>
              <w:spacing w:before="60" w:after="60" w:line="240" w:lineRule="auto"/>
            </w:pPr>
          </w:p>
        </w:tc>
      </w:tr>
      <w:tr w:rsidR="009B741A" w:rsidRPr="001A122C" w14:paraId="1B25E81D" w14:textId="77777777" w:rsidTr="00AF5787">
        <w:trPr>
          <w:trHeight w:val="75"/>
        </w:trPr>
        <w:tc>
          <w:tcPr>
            <w:tcW w:w="1880" w:type="pct"/>
            <w:tcBorders>
              <w:top w:val="single" w:sz="18" w:space="0" w:color="auto"/>
            </w:tcBorders>
            <w:hideMark/>
          </w:tcPr>
          <w:p w14:paraId="6232BC74" w14:textId="77777777" w:rsidR="009B741A" w:rsidRPr="008A6F48" w:rsidRDefault="009B741A" w:rsidP="00AF5787">
            <w:pPr>
              <w:spacing w:before="60" w:after="60" w:line="240" w:lineRule="auto"/>
              <w:rPr>
                <w:rFonts w:asciiTheme="majorBidi" w:hAnsiTheme="majorBidi" w:cstheme="majorBidi"/>
                <w:b/>
                <w:bCs/>
                <w:sz w:val="24"/>
                <w:szCs w:val="24"/>
              </w:rPr>
            </w:pPr>
            <w:r w:rsidRPr="008A6F48">
              <w:rPr>
                <w:rFonts w:asciiTheme="majorBidi" w:hAnsiTheme="majorBidi" w:cstheme="majorBidi"/>
                <w:b/>
                <w:bCs/>
                <w:sz w:val="24"/>
                <w:szCs w:val="24"/>
              </w:rPr>
              <w:t>Admission to ICU</w:t>
            </w:r>
          </w:p>
        </w:tc>
        <w:tc>
          <w:tcPr>
            <w:tcW w:w="1333" w:type="pct"/>
            <w:tcBorders>
              <w:top w:val="single" w:sz="18" w:space="0" w:color="auto"/>
            </w:tcBorders>
          </w:tcPr>
          <w:p w14:paraId="4F749877" w14:textId="247DCACA" w:rsidR="009B741A" w:rsidRPr="001A122C" w:rsidRDefault="009B741A" w:rsidP="00AF5787">
            <w:pPr>
              <w:spacing w:before="60" w:after="60" w:line="240" w:lineRule="auto"/>
              <w:jc w:val="center"/>
            </w:pPr>
            <w:r>
              <w:rPr>
                <w:rFonts w:asciiTheme="majorBidi" w:hAnsiTheme="majorBidi" w:cstheme="majorBidi"/>
                <w:sz w:val="24"/>
                <w:szCs w:val="24"/>
              </w:rPr>
              <w:t>6 (20%)</w:t>
            </w:r>
          </w:p>
        </w:tc>
        <w:tc>
          <w:tcPr>
            <w:tcW w:w="1192" w:type="pct"/>
            <w:tcBorders>
              <w:top w:val="single" w:sz="18" w:space="0" w:color="auto"/>
            </w:tcBorders>
          </w:tcPr>
          <w:p w14:paraId="4709DD67" w14:textId="08D97F34" w:rsidR="009B741A" w:rsidRPr="001A122C" w:rsidRDefault="009B741A" w:rsidP="00AF5787">
            <w:pPr>
              <w:spacing w:before="60" w:after="60" w:line="240" w:lineRule="auto"/>
              <w:jc w:val="center"/>
            </w:pPr>
            <w:r>
              <w:rPr>
                <w:rFonts w:asciiTheme="majorBidi" w:hAnsiTheme="majorBidi" w:cstheme="majorBidi"/>
                <w:sz w:val="24"/>
                <w:szCs w:val="24"/>
              </w:rPr>
              <w:t>56 (80%)</w:t>
            </w:r>
          </w:p>
        </w:tc>
        <w:tc>
          <w:tcPr>
            <w:tcW w:w="595" w:type="pct"/>
            <w:tcBorders>
              <w:top w:val="single" w:sz="18" w:space="0" w:color="auto"/>
            </w:tcBorders>
          </w:tcPr>
          <w:p w14:paraId="607F9FE4" w14:textId="1AF19CE0" w:rsidR="009B741A" w:rsidRPr="001A122C" w:rsidRDefault="009B741A" w:rsidP="00AF5787">
            <w:pPr>
              <w:spacing w:before="60" w:after="60" w:line="240" w:lineRule="auto"/>
              <w:jc w:val="center"/>
            </w:pPr>
            <w:r>
              <w:rPr>
                <w:rFonts w:asciiTheme="majorBidi" w:hAnsiTheme="majorBidi" w:cstheme="majorBidi"/>
                <w:b/>
                <w:bCs/>
                <w:sz w:val="24"/>
                <w:szCs w:val="24"/>
              </w:rPr>
              <w:t>&lt; 0.001</w:t>
            </w:r>
          </w:p>
        </w:tc>
      </w:tr>
      <w:tr w:rsidR="009B741A" w:rsidRPr="001A122C" w14:paraId="54288CCD" w14:textId="77777777" w:rsidTr="00AF5787">
        <w:trPr>
          <w:trHeight w:val="245"/>
        </w:trPr>
        <w:tc>
          <w:tcPr>
            <w:tcW w:w="1880" w:type="pct"/>
            <w:hideMark/>
          </w:tcPr>
          <w:p w14:paraId="184664CC" w14:textId="77777777" w:rsidR="009B741A" w:rsidRPr="008A6F48" w:rsidRDefault="009B741A" w:rsidP="00AF5787">
            <w:pPr>
              <w:spacing w:before="60" w:after="60" w:line="240" w:lineRule="auto"/>
              <w:rPr>
                <w:rFonts w:asciiTheme="majorBidi" w:hAnsiTheme="majorBidi" w:cstheme="majorBidi"/>
                <w:b/>
                <w:bCs/>
                <w:sz w:val="24"/>
                <w:szCs w:val="24"/>
              </w:rPr>
            </w:pPr>
            <w:r w:rsidRPr="008A6F48">
              <w:rPr>
                <w:rFonts w:asciiTheme="majorBidi" w:hAnsiTheme="majorBidi" w:cstheme="majorBidi"/>
                <w:b/>
                <w:bCs/>
                <w:sz w:val="24"/>
                <w:szCs w:val="24"/>
              </w:rPr>
              <w:t>ICU duration (days)</w:t>
            </w:r>
          </w:p>
        </w:tc>
        <w:tc>
          <w:tcPr>
            <w:tcW w:w="1333" w:type="pct"/>
          </w:tcPr>
          <w:p w14:paraId="5F95ABCB" w14:textId="7039E927" w:rsidR="009B741A" w:rsidRPr="001A122C" w:rsidRDefault="009B741A" w:rsidP="00AF5787">
            <w:pPr>
              <w:spacing w:before="60" w:after="60" w:line="240" w:lineRule="auto"/>
              <w:jc w:val="center"/>
              <w:rPr>
                <w:lang w:bidi="ar-EG"/>
              </w:rPr>
            </w:pPr>
            <w:r>
              <w:rPr>
                <w:rFonts w:asciiTheme="majorBidi" w:hAnsiTheme="majorBidi" w:cstheme="majorBidi"/>
                <w:sz w:val="24"/>
                <w:szCs w:val="24"/>
              </w:rPr>
              <w:t>4.40 ± 2.11</w:t>
            </w:r>
          </w:p>
        </w:tc>
        <w:tc>
          <w:tcPr>
            <w:tcW w:w="1192" w:type="pct"/>
          </w:tcPr>
          <w:p w14:paraId="0BEC61BE" w14:textId="78B2743A" w:rsidR="009B741A" w:rsidRPr="001A122C" w:rsidRDefault="009B741A" w:rsidP="00AF5787">
            <w:pPr>
              <w:spacing w:before="60" w:after="60" w:line="240" w:lineRule="auto"/>
              <w:jc w:val="center"/>
            </w:pPr>
            <w:r>
              <w:rPr>
                <w:rFonts w:asciiTheme="majorBidi" w:hAnsiTheme="majorBidi" w:cstheme="majorBidi"/>
                <w:sz w:val="24"/>
                <w:szCs w:val="24"/>
              </w:rPr>
              <w:t>12.81 ± 3.11</w:t>
            </w:r>
          </w:p>
        </w:tc>
        <w:tc>
          <w:tcPr>
            <w:tcW w:w="595" w:type="pct"/>
          </w:tcPr>
          <w:p w14:paraId="066E6515" w14:textId="1847C49D" w:rsidR="009B741A" w:rsidRPr="001A122C" w:rsidRDefault="009B741A" w:rsidP="00AF5787">
            <w:pPr>
              <w:spacing w:before="60" w:after="60" w:line="240" w:lineRule="auto"/>
              <w:jc w:val="center"/>
            </w:pPr>
            <w:r>
              <w:rPr>
                <w:rFonts w:asciiTheme="majorBidi" w:hAnsiTheme="majorBidi" w:cstheme="majorBidi"/>
                <w:sz w:val="24"/>
                <w:szCs w:val="24"/>
              </w:rPr>
              <w:t>&lt;</w:t>
            </w:r>
            <w:r w:rsidR="008A6F48">
              <w:rPr>
                <w:rFonts w:asciiTheme="majorBidi" w:hAnsiTheme="majorBidi" w:cstheme="majorBidi"/>
                <w:b/>
                <w:bCs/>
                <w:sz w:val="24"/>
                <w:szCs w:val="24"/>
              </w:rPr>
              <w:t xml:space="preserve"> </w:t>
            </w:r>
            <w:r>
              <w:rPr>
                <w:rFonts w:asciiTheme="majorBidi" w:hAnsiTheme="majorBidi" w:cstheme="majorBidi"/>
                <w:b/>
                <w:bCs/>
                <w:sz w:val="24"/>
                <w:szCs w:val="24"/>
              </w:rPr>
              <w:t>0.001</w:t>
            </w:r>
          </w:p>
        </w:tc>
      </w:tr>
      <w:tr w:rsidR="009B741A" w:rsidRPr="001A122C" w14:paraId="740B0CA1" w14:textId="77777777" w:rsidTr="00AF5787">
        <w:trPr>
          <w:trHeight w:val="231"/>
        </w:trPr>
        <w:tc>
          <w:tcPr>
            <w:tcW w:w="1880" w:type="pct"/>
            <w:hideMark/>
          </w:tcPr>
          <w:p w14:paraId="32AE7AD3" w14:textId="77777777" w:rsidR="009B741A" w:rsidRPr="008A6F48" w:rsidRDefault="009B741A" w:rsidP="00AF5787">
            <w:pPr>
              <w:spacing w:before="60" w:after="60" w:line="240" w:lineRule="auto"/>
              <w:rPr>
                <w:rFonts w:asciiTheme="majorBidi" w:hAnsiTheme="majorBidi" w:cstheme="majorBidi"/>
                <w:b/>
                <w:bCs/>
                <w:sz w:val="24"/>
                <w:szCs w:val="24"/>
              </w:rPr>
            </w:pPr>
            <w:r w:rsidRPr="008A6F48">
              <w:rPr>
                <w:rFonts w:asciiTheme="majorBidi" w:hAnsiTheme="majorBidi" w:cstheme="majorBidi"/>
                <w:b/>
                <w:bCs/>
                <w:sz w:val="24"/>
                <w:szCs w:val="24"/>
              </w:rPr>
              <w:t>Steroid therapy</w:t>
            </w:r>
          </w:p>
        </w:tc>
        <w:tc>
          <w:tcPr>
            <w:tcW w:w="1333" w:type="pct"/>
          </w:tcPr>
          <w:p w14:paraId="6AAACF22" w14:textId="5BA42E24" w:rsidR="009B741A" w:rsidRPr="001A122C" w:rsidRDefault="009B741A" w:rsidP="00AF5787">
            <w:pPr>
              <w:spacing w:before="60" w:after="60" w:line="240" w:lineRule="auto"/>
              <w:jc w:val="center"/>
            </w:pPr>
            <w:r>
              <w:rPr>
                <w:rFonts w:asciiTheme="majorBidi" w:hAnsiTheme="majorBidi" w:cstheme="majorBidi"/>
                <w:sz w:val="24"/>
                <w:szCs w:val="24"/>
              </w:rPr>
              <w:t>24 (80%)</w:t>
            </w:r>
          </w:p>
        </w:tc>
        <w:tc>
          <w:tcPr>
            <w:tcW w:w="1192" w:type="pct"/>
          </w:tcPr>
          <w:p w14:paraId="35D94D6E" w14:textId="448AF73D" w:rsidR="009B741A" w:rsidRPr="001A122C" w:rsidRDefault="009B741A" w:rsidP="00AF5787">
            <w:pPr>
              <w:spacing w:before="60" w:after="60" w:line="240" w:lineRule="auto"/>
              <w:jc w:val="center"/>
            </w:pPr>
            <w:r>
              <w:rPr>
                <w:rFonts w:asciiTheme="majorBidi" w:hAnsiTheme="majorBidi" w:cstheme="majorBidi"/>
                <w:sz w:val="24"/>
                <w:szCs w:val="24"/>
              </w:rPr>
              <w:t>56 (80%)</w:t>
            </w:r>
          </w:p>
        </w:tc>
        <w:tc>
          <w:tcPr>
            <w:tcW w:w="595" w:type="pct"/>
          </w:tcPr>
          <w:p w14:paraId="6C7C3506" w14:textId="223BC909" w:rsidR="009B741A" w:rsidRPr="001A122C" w:rsidRDefault="009B741A" w:rsidP="00AF5787">
            <w:pPr>
              <w:spacing w:before="60" w:after="60" w:line="240" w:lineRule="auto"/>
              <w:jc w:val="center"/>
            </w:pPr>
            <w:r>
              <w:rPr>
                <w:rFonts w:asciiTheme="majorBidi" w:hAnsiTheme="majorBidi" w:cstheme="majorBidi"/>
                <w:sz w:val="24"/>
                <w:szCs w:val="24"/>
              </w:rPr>
              <w:t>0.69</w:t>
            </w:r>
          </w:p>
        </w:tc>
      </w:tr>
      <w:tr w:rsidR="009B741A" w:rsidRPr="001A122C" w14:paraId="2FE86556" w14:textId="77777777" w:rsidTr="00AF5787">
        <w:trPr>
          <w:trHeight w:val="140"/>
        </w:trPr>
        <w:tc>
          <w:tcPr>
            <w:tcW w:w="1880" w:type="pct"/>
            <w:hideMark/>
          </w:tcPr>
          <w:p w14:paraId="66F07A71" w14:textId="77777777" w:rsidR="009B741A" w:rsidRPr="008A6F48" w:rsidRDefault="009B741A" w:rsidP="00AF5787">
            <w:pPr>
              <w:spacing w:before="60" w:after="60" w:line="240" w:lineRule="auto"/>
              <w:rPr>
                <w:rFonts w:asciiTheme="majorBidi" w:hAnsiTheme="majorBidi" w:cstheme="majorBidi"/>
                <w:b/>
                <w:bCs/>
                <w:sz w:val="24"/>
                <w:szCs w:val="24"/>
              </w:rPr>
            </w:pPr>
            <w:r w:rsidRPr="008A6F48">
              <w:rPr>
                <w:rFonts w:asciiTheme="majorBidi" w:hAnsiTheme="majorBidi" w:cstheme="majorBidi"/>
                <w:b/>
                <w:bCs/>
                <w:sz w:val="24"/>
                <w:szCs w:val="24"/>
              </w:rPr>
              <w:t>Steroid dose (mg)</w:t>
            </w:r>
          </w:p>
        </w:tc>
        <w:tc>
          <w:tcPr>
            <w:tcW w:w="1333" w:type="pct"/>
          </w:tcPr>
          <w:p w14:paraId="329627EE" w14:textId="6A9C2AFE" w:rsidR="009B741A" w:rsidRPr="001A122C" w:rsidRDefault="009B741A" w:rsidP="00AF5787">
            <w:pPr>
              <w:spacing w:before="60" w:after="60" w:line="240" w:lineRule="auto"/>
              <w:jc w:val="center"/>
            </w:pPr>
            <w:r>
              <w:rPr>
                <w:rFonts w:asciiTheme="majorBidi" w:hAnsiTheme="majorBidi" w:cstheme="majorBidi"/>
                <w:sz w:val="24"/>
                <w:szCs w:val="24"/>
              </w:rPr>
              <w:t>150.98 ± 12.6</w:t>
            </w:r>
          </w:p>
        </w:tc>
        <w:tc>
          <w:tcPr>
            <w:tcW w:w="1192" w:type="pct"/>
          </w:tcPr>
          <w:p w14:paraId="458697FF" w14:textId="042A527B" w:rsidR="009B741A" w:rsidRPr="001A122C" w:rsidRDefault="009B741A" w:rsidP="00AF5787">
            <w:pPr>
              <w:spacing w:before="60" w:after="60" w:line="240" w:lineRule="auto"/>
              <w:jc w:val="center"/>
            </w:pPr>
            <w:r>
              <w:rPr>
                <w:rFonts w:asciiTheme="majorBidi" w:hAnsiTheme="majorBidi" w:cstheme="majorBidi"/>
                <w:sz w:val="24"/>
                <w:szCs w:val="24"/>
              </w:rPr>
              <w:t>149.11 ± 34.45</w:t>
            </w:r>
          </w:p>
        </w:tc>
        <w:tc>
          <w:tcPr>
            <w:tcW w:w="595" w:type="pct"/>
          </w:tcPr>
          <w:p w14:paraId="5781F6DD" w14:textId="66AAE3FD" w:rsidR="009B741A" w:rsidRPr="001A122C" w:rsidRDefault="009B741A" w:rsidP="00AF5787">
            <w:pPr>
              <w:spacing w:before="60" w:after="60" w:line="240" w:lineRule="auto"/>
              <w:jc w:val="center"/>
            </w:pPr>
            <w:r>
              <w:rPr>
                <w:rFonts w:asciiTheme="majorBidi" w:hAnsiTheme="majorBidi" w:cstheme="majorBidi"/>
                <w:sz w:val="24"/>
                <w:szCs w:val="24"/>
              </w:rPr>
              <w:t>0.10</w:t>
            </w:r>
          </w:p>
        </w:tc>
      </w:tr>
      <w:tr w:rsidR="009B741A" w:rsidRPr="001A122C" w14:paraId="6B420AD9" w14:textId="77777777" w:rsidTr="00AF5787">
        <w:trPr>
          <w:trHeight w:val="211"/>
        </w:trPr>
        <w:tc>
          <w:tcPr>
            <w:tcW w:w="1880" w:type="pct"/>
            <w:hideMark/>
          </w:tcPr>
          <w:p w14:paraId="0184610C" w14:textId="77777777" w:rsidR="009B741A" w:rsidRPr="008A6F48" w:rsidRDefault="009B741A" w:rsidP="00AF5787">
            <w:pPr>
              <w:spacing w:before="60" w:after="60" w:line="240" w:lineRule="auto"/>
              <w:rPr>
                <w:rFonts w:asciiTheme="majorBidi" w:hAnsiTheme="majorBidi" w:cstheme="majorBidi"/>
                <w:b/>
                <w:bCs/>
                <w:sz w:val="24"/>
                <w:szCs w:val="24"/>
              </w:rPr>
            </w:pPr>
            <w:proofErr w:type="spellStart"/>
            <w:r w:rsidRPr="008A6F48">
              <w:rPr>
                <w:rFonts w:asciiTheme="majorBidi" w:hAnsiTheme="majorBidi" w:cstheme="majorBidi"/>
                <w:b/>
                <w:bCs/>
                <w:sz w:val="24"/>
                <w:szCs w:val="24"/>
              </w:rPr>
              <w:t>Hydroquine</w:t>
            </w:r>
            <w:proofErr w:type="spellEnd"/>
            <w:r w:rsidRPr="008A6F48">
              <w:rPr>
                <w:rFonts w:asciiTheme="majorBidi" w:hAnsiTheme="majorBidi" w:cstheme="majorBidi"/>
                <w:b/>
                <w:bCs/>
                <w:sz w:val="24"/>
                <w:szCs w:val="24"/>
              </w:rPr>
              <w:t xml:space="preserve"> </w:t>
            </w:r>
          </w:p>
        </w:tc>
        <w:tc>
          <w:tcPr>
            <w:tcW w:w="1333" w:type="pct"/>
          </w:tcPr>
          <w:p w14:paraId="4E8BC3CE" w14:textId="0CE3526F" w:rsidR="009B741A" w:rsidRPr="001A122C" w:rsidRDefault="009B741A" w:rsidP="00AF5787">
            <w:pPr>
              <w:spacing w:before="60" w:after="60" w:line="240" w:lineRule="auto"/>
              <w:jc w:val="center"/>
              <w:rPr>
                <w:lang w:bidi="ar-EG"/>
              </w:rPr>
            </w:pPr>
            <w:r>
              <w:rPr>
                <w:rFonts w:asciiTheme="majorBidi" w:hAnsiTheme="majorBidi" w:cstheme="majorBidi"/>
                <w:sz w:val="24"/>
                <w:szCs w:val="24"/>
              </w:rPr>
              <w:t>6 (20%)</w:t>
            </w:r>
          </w:p>
        </w:tc>
        <w:tc>
          <w:tcPr>
            <w:tcW w:w="1192" w:type="pct"/>
          </w:tcPr>
          <w:p w14:paraId="62E38363" w14:textId="07DE219A" w:rsidR="009B741A" w:rsidRPr="001A122C" w:rsidRDefault="009B741A" w:rsidP="00AF5787">
            <w:pPr>
              <w:spacing w:before="60" w:after="60" w:line="240" w:lineRule="auto"/>
              <w:jc w:val="center"/>
            </w:pPr>
            <w:r>
              <w:rPr>
                <w:rFonts w:asciiTheme="majorBidi" w:hAnsiTheme="majorBidi" w:cstheme="majorBidi"/>
                <w:sz w:val="24"/>
                <w:szCs w:val="24"/>
              </w:rPr>
              <w:t>14 (20%)</w:t>
            </w:r>
          </w:p>
        </w:tc>
        <w:tc>
          <w:tcPr>
            <w:tcW w:w="595" w:type="pct"/>
          </w:tcPr>
          <w:p w14:paraId="4D345231" w14:textId="6FBBCA0A" w:rsidR="009B741A" w:rsidRPr="001A122C" w:rsidRDefault="009B741A" w:rsidP="00AF5787">
            <w:pPr>
              <w:spacing w:before="60" w:after="60" w:line="240" w:lineRule="auto"/>
              <w:jc w:val="center"/>
            </w:pPr>
            <w:r>
              <w:rPr>
                <w:rFonts w:asciiTheme="majorBidi" w:hAnsiTheme="majorBidi" w:cstheme="majorBidi"/>
                <w:sz w:val="24"/>
                <w:szCs w:val="24"/>
              </w:rPr>
              <w:t>0.69</w:t>
            </w:r>
          </w:p>
        </w:tc>
      </w:tr>
      <w:tr w:rsidR="009B741A" w:rsidRPr="001A122C" w14:paraId="3819BA0B" w14:textId="77777777" w:rsidTr="00AF5787">
        <w:trPr>
          <w:trHeight w:val="245"/>
        </w:trPr>
        <w:tc>
          <w:tcPr>
            <w:tcW w:w="1880" w:type="pct"/>
            <w:hideMark/>
          </w:tcPr>
          <w:p w14:paraId="5FA719FF" w14:textId="77777777" w:rsidR="009B741A" w:rsidRPr="008A6F48" w:rsidRDefault="009B741A" w:rsidP="00AF5787">
            <w:pPr>
              <w:spacing w:before="60" w:after="60" w:line="240" w:lineRule="auto"/>
              <w:rPr>
                <w:rFonts w:asciiTheme="majorBidi" w:hAnsiTheme="majorBidi" w:cstheme="majorBidi"/>
                <w:b/>
                <w:bCs/>
                <w:sz w:val="24"/>
                <w:szCs w:val="24"/>
              </w:rPr>
            </w:pPr>
            <w:proofErr w:type="spellStart"/>
            <w:r w:rsidRPr="008A6F48">
              <w:rPr>
                <w:rFonts w:asciiTheme="majorBidi" w:hAnsiTheme="majorBidi" w:cstheme="majorBidi"/>
                <w:b/>
                <w:bCs/>
                <w:sz w:val="24"/>
                <w:szCs w:val="24"/>
              </w:rPr>
              <w:t>Tamflu</w:t>
            </w:r>
            <w:proofErr w:type="spellEnd"/>
          </w:p>
        </w:tc>
        <w:tc>
          <w:tcPr>
            <w:tcW w:w="1333" w:type="pct"/>
          </w:tcPr>
          <w:p w14:paraId="289D2C85" w14:textId="0BED7B4F" w:rsidR="009B741A" w:rsidRPr="001A122C" w:rsidRDefault="009B741A" w:rsidP="00AF5787">
            <w:pPr>
              <w:spacing w:before="60" w:after="60" w:line="240" w:lineRule="auto"/>
              <w:jc w:val="center"/>
            </w:pPr>
            <w:r>
              <w:rPr>
                <w:rFonts w:asciiTheme="majorBidi" w:hAnsiTheme="majorBidi" w:cstheme="majorBidi"/>
                <w:sz w:val="24"/>
                <w:szCs w:val="24"/>
              </w:rPr>
              <w:t>8 (26.7%)</w:t>
            </w:r>
          </w:p>
        </w:tc>
        <w:tc>
          <w:tcPr>
            <w:tcW w:w="1192" w:type="pct"/>
          </w:tcPr>
          <w:p w14:paraId="30C1BED6" w14:textId="30A029E4" w:rsidR="009B741A" w:rsidRPr="001A122C" w:rsidRDefault="009B741A" w:rsidP="00AF5787">
            <w:pPr>
              <w:spacing w:before="60" w:after="60" w:line="240" w:lineRule="auto"/>
              <w:jc w:val="center"/>
            </w:pPr>
            <w:r>
              <w:rPr>
                <w:rFonts w:asciiTheme="majorBidi" w:hAnsiTheme="majorBidi" w:cstheme="majorBidi"/>
                <w:sz w:val="24"/>
                <w:szCs w:val="24"/>
              </w:rPr>
              <w:t>14 (20%)</w:t>
            </w:r>
          </w:p>
        </w:tc>
        <w:tc>
          <w:tcPr>
            <w:tcW w:w="595" w:type="pct"/>
          </w:tcPr>
          <w:p w14:paraId="13C2ED63" w14:textId="0B73DF68" w:rsidR="009B741A" w:rsidRPr="001A122C" w:rsidRDefault="009B741A" w:rsidP="00AF5787">
            <w:pPr>
              <w:spacing w:before="60" w:after="60" w:line="240" w:lineRule="auto"/>
              <w:jc w:val="center"/>
            </w:pPr>
            <w:r>
              <w:rPr>
                <w:rFonts w:asciiTheme="majorBidi" w:hAnsiTheme="majorBidi" w:cstheme="majorBidi"/>
                <w:sz w:val="24"/>
                <w:szCs w:val="24"/>
              </w:rPr>
              <w:t>0.10</w:t>
            </w:r>
          </w:p>
        </w:tc>
      </w:tr>
      <w:tr w:rsidR="009B741A" w:rsidRPr="001A122C" w14:paraId="5004A725" w14:textId="77777777" w:rsidTr="00AF5787">
        <w:trPr>
          <w:trHeight w:val="231"/>
        </w:trPr>
        <w:tc>
          <w:tcPr>
            <w:tcW w:w="1880" w:type="pct"/>
            <w:hideMark/>
          </w:tcPr>
          <w:p w14:paraId="4E0311FC" w14:textId="77777777" w:rsidR="009B741A" w:rsidRPr="008A6F48" w:rsidRDefault="009B741A" w:rsidP="00AF5787">
            <w:pPr>
              <w:spacing w:before="60" w:after="60" w:line="240" w:lineRule="auto"/>
              <w:rPr>
                <w:rFonts w:asciiTheme="majorBidi" w:hAnsiTheme="majorBidi" w:cstheme="majorBidi"/>
                <w:b/>
                <w:bCs/>
                <w:sz w:val="24"/>
                <w:szCs w:val="24"/>
              </w:rPr>
            </w:pPr>
            <w:proofErr w:type="spellStart"/>
            <w:r w:rsidRPr="008A6F48">
              <w:rPr>
                <w:rFonts w:asciiTheme="majorBidi" w:hAnsiTheme="majorBidi" w:cstheme="majorBidi"/>
                <w:b/>
                <w:bCs/>
                <w:sz w:val="24"/>
                <w:szCs w:val="24"/>
              </w:rPr>
              <w:t>Remdisvir</w:t>
            </w:r>
            <w:proofErr w:type="spellEnd"/>
          </w:p>
        </w:tc>
        <w:tc>
          <w:tcPr>
            <w:tcW w:w="1333" w:type="pct"/>
          </w:tcPr>
          <w:p w14:paraId="66D5D027" w14:textId="7740675A" w:rsidR="009B741A" w:rsidRPr="001A122C" w:rsidRDefault="009B741A" w:rsidP="00AF5787">
            <w:pPr>
              <w:spacing w:before="60" w:after="60" w:line="240" w:lineRule="auto"/>
              <w:jc w:val="center"/>
            </w:pPr>
            <w:r>
              <w:rPr>
                <w:rFonts w:asciiTheme="majorBidi" w:hAnsiTheme="majorBidi" w:cstheme="majorBidi"/>
                <w:sz w:val="24"/>
                <w:szCs w:val="24"/>
              </w:rPr>
              <w:t>4 (13.3%)</w:t>
            </w:r>
          </w:p>
        </w:tc>
        <w:tc>
          <w:tcPr>
            <w:tcW w:w="1192" w:type="pct"/>
          </w:tcPr>
          <w:p w14:paraId="339F5FAE" w14:textId="7CC9D2B1" w:rsidR="009B741A" w:rsidRPr="001A122C" w:rsidRDefault="009B741A" w:rsidP="00AF5787">
            <w:pPr>
              <w:spacing w:before="60" w:after="60" w:line="240" w:lineRule="auto"/>
              <w:jc w:val="center"/>
            </w:pPr>
            <w:r>
              <w:rPr>
                <w:rFonts w:asciiTheme="majorBidi" w:hAnsiTheme="majorBidi" w:cstheme="majorBidi"/>
                <w:sz w:val="24"/>
                <w:szCs w:val="24"/>
              </w:rPr>
              <w:t>10 (14.3%)</w:t>
            </w:r>
          </w:p>
        </w:tc>
        <w:tc>
          <w:tcPr>
            <w:tcW w:w="595" w:type="pct"/>
          </w:tcPr>
          <w:p w14:paraId="04266530" w14:textId="65A4B8D3" w:rsidR="009B741A" w:rsidRPr="001A122C" w:rsidRDefault="009B741A" w:rsidP="00AF5787">
            <w:pPr>
              <w:spacing w:before="60" w:after="60" w:line="240" w:lineRule="auto"/>
              <w:jc w:val="center"/>
            </w:pPr>
            <w:r>
              <w:rPr>
                <w:rFonts w:asciiTheme="majorBidi" w:hAnsiTheme="majorBidi" w:cstheme="majorBidi"/>
                <w:sz w:val="24"/>
                <w:szCs w:val="24"/>
              </w:rPr>
              <w:t>0.23</w:t>
            </w:r>
          </w:p>
        </w:tc>
      </w:tr>
      <w:tr w:rsidR="009B741A" w:rsidRPr="001A122C" w14:paraId="2A9EB332" w14:textId="77777777" w:rsidTr="00AF5787">
        <w:trPr>
          <w:trHeight w:val="245"/>
        </w:trPr>
        <w:tc>
          <w:tcPr>
            <w:tcW w:w="1880" w:type="pct"/>
            <w:hideMark/>
          </w:tcPr>
          <w:p w14:paraId="5D8D25EF" w14:textId="77777777" w:rsidR="009B741A" w:rsidRPr="008A6F48" w:rsidRDefault="009B741A" w:rsidP="00AF5787">
            <w:pPr>
              <w:spacing w:before="60" w:after="60" w:line="240" w:lineRule="auto"/>
              <w:rPr>
                <w:rFonts w:asciiTheme="majorBidi" w:hAnsiTheme="majorBidi" w:cstheme="majorBidi"/>
                <w:b/>
                <w:bCs/>
                <w:sz w:val="24"/>
                <w:szCs w:val="24"/>
              </w:rPr>
            </w:pPr>
            <w:proofErr w:type="spellStart"/>
            <w:r w:rsidRPr="008A6F48">
              <w:rPr>
                <w:rFonts w:asciiTheme="majorBidi" w:hAnsiTheme="majorBidi" w:cstheme="majorBidi"/>
                <w:b/>
                <w:bCs/>
                <w:sz w:val="24"/>
                <w:szCs w:val="24"/>
              </w:rPr>
              <w:t>Actemera</w:t>
            </w:r>
            <w:proofErr w:type="spellEnd"/>
          </w:p>
        </w:tc>
        <w:tc>
          <w:tcPr>
            <w:tcW w:w="1333" w:type="pct"/>
          </w:tcPr>
          <w:p w14:paraId="0AF52675" w14:textId="32E8C548" w:rsidR="009B741A" w:rsidRPr="001A122C" w:rsidRDefault="009B741A" w:rsidP="00AF5787">
            <w:pPr>
              <w:spacing w:before="60" w:after="60" w:line="240" w:lineRule="auto"/>
              <w:jc w:val="center"/>
              <w:rPr>
                <w:lang w:bidi="ar-EG"/>
              </w:rPr>
            </w:pPr>
            <w:r>
              <w:rPr>
                <w:rFonts w:asciiTheme="majorBidi" w:hAnsiTheme="majorBidi" w:cstheme="majorBidi"/>
                <w:sz w:val="24"/>
                <w:szCs w:val="24"/>
              </w:rPr>
              <w:t>6 (20%)</w:t>
            </w:r>
          </w:p>
        </w:tc>
        <w:tc>
          <w:tcPr>
            <w:tcW w:w="1192" w:type="pct"/>
          </w:tcPr>
          <w:p w14:paraId="79D107CE" w14:textId="26E51F7E" w:rsidR="009B741A" w:rsidRPr="001A122C" w:rsidRDefault="009B741A" w:rsidP="00AF5787">
            <w:pPr>
              <w:spacing w:before="60" w:after="60" w:line="240" w:lineRule="auto"/>
              <w:jc w:val="center"/>
            </w:pPr>
            <w:r>
              <w:rPr>
                <w:rFonts w:asciiTheme="majorBidi" w:hAnsiTheme="majorBidi" w:cstheme="majorBidi"/>
                <w:sz w:val="24"/>
                <w:szCs w:val="24"/>
              </w:rPr>
              <w:t>15 (21.4%)</w:t>
            </w:r>
          </w:p>
        </w:tc>
        <w:tc>
          <w:tcPr>
            <w:tcW w:w="595" w:type="pct"/>
          </w:tcPr>
          <w:p w14:paraId="6325579B" w14:textId="3EF5F16D" w:rsidR="009B741A" w:rsidRPr="001A122C" w:rsidRDefault="009B741A" w:rsidP="00AF5787">
            <w:pPr>
              <w:spacing w:before="60" w:after="60" w:line="240" w:lineRule="auto"/>
              <w:jc w:val="center"/>
            </w:pPr>
            <w:r>
              <w:rPr>
                <w:rFonts w:asciiTheme="majorBidi" w:hAnsiTheme="majorBidi" w:cstheme="majorBidi"/>
                <w:sz w:val="24"/>
                <w:szCs w:val="24"/>
              </w:rPr>
              <w:t>0.39</w:t>
            </w:r>
          </w:p>
        </w:tc>
      </w:tr>
      <w:tr w:rsidR="003407C3" w:rsidRPr="001A122C" w14:paraId="524A2035" w14:textId="77777777" w:rsidTr="00AF5787">
        <w:trPr>
          <w:trHeight w:val="245"/>
        </w:trPr>
        <w:tc>
          <w:tcPr>
            <w:tcW w:w="1880" w:type="pct"/>
            <w:hideMark/>
          </w:tcPr>
          <w:p w14:paraId="254D4F7F" w14:textId="77777777" w:rsidR="003407C3" w:rsidRPr="008A6F48" w:rsidRDefault="003407C3" w:rsidP="00AF5787">
            <w:pPr>
              <w:spacing w:before="60" w:after="60" w:line="240" w:lineRule="auto"/>
              <w:rPr>
                <w:rFonts w:asciiTheme="majorBidi" w:hAnsiTheme="majorBidi" w:cstheme="majorBidi"/>
                <w:b/>
                <w:bCs/>
                <w:sz w:val="24"/>
                <w:szCs w:val="24"/>
              </w:rPr>
            </w:pPr>
            <w:r w:rsidRPr="008A6F48">
              <w:rPr>
                <w:rFonts w:asciiTheme="majorBidi" w:hAnsiTheme="majorBidi" w:cstheme="majorBidi"/>
                <w:b/>
                <w:bCs/>
                <w:sz w:val="24"/>
                <w:szCs w:val="24"/>
              </w:rPr>
              <w:t>High flow nasal cannula</w:t>
            </w:r>
          </w:p>
        </w:tc>
        <w:tc>
          <w:tcPr>
            <w:tcW w:w="1333" w:type="pct"/>
          </w:tcPr>
          <w:p w14:paraId="21EF75CF" w14:textId="0BEE91BC" w:rsidR="003407C3" w:rsidRPr="001A122C" w:rsidRDefault="003407C3" w:rsidP="00AF5787">
            <w:pPr>
              <w:spacing w:before="60" w:after="60" w:line="240" w:lineRule="auto"/>
              <w:jc w:val="center"/>
            </w:pPr>
            <w:r>
              <w:rPr>
                <w:rFonts w:asciiTheme="majorBidi" w:hAnsiTheme="majorBidi" w:cstheme="majorBidi"/>
                <w:sz w:val="24"/>
                <w:szCs w:val="24"/>
              </w:rPr>
              <w:t>3 (10%)</w:t>
            </w:r>
          </w:p>
        </w:tc>
        <w:tc>
          <w:tcPr>
            <w:tcW w:w="1192" w:type="pct"/>
          </w:tcPr>
          <w:p w14:paraId="7A87424A" w14:textId="5A599DDB" w:rsidR="003407C3" w:rsidRPr="001A122C" w:rsidRDefault="003407C3" w:rsidP="00AF5787">
            <w:pPr>
              <w:spacing w:before="60" w:after="60" w:line="240" w:lineRule="auto"/>
              <w:jc w:val="center"/>
            </w:pPr>
            <w:r>
              <w:rPr>
                <w:rFonts w:asciiTheme="majorBidi" w:hAnsiTheme="majorBidi" w:cstheme="majorBidi"/>
                <w:sz w:val="24"/>
                <w:szCs w:val="24"/>
              </w:rPr>
              <w:t>14 (20%)</w:t>
            </w:r>
          </w:p>
        </w:tc>
        <w:tc>
          <w:tcPr>
            <w:tcW w:w="595" w:type="pct"/>
          </w:tcPr>
          <w:p w14:paraId="320704A6" w14:textId="3B09BC1E" w:rsidR="003407C3" w:rsidRPr="001A122C" w:rsidRDefault="003407C3" w:rsidP="00AF5787">
            <w:pPr>
              <w:spacing w:before="60" w:after="60" w:line="240" w:lineRule="auto"/>
              <w:jc w:val="center"/>
            </w:pPr>
            <w:r>
              <w:rPr>
                <w:rFonts w:asciiTheme="majorBidi" w:hAnsiTheme="majorBidi" w:cstheme="majorBidi"/>
                <w:sz w:val="24"/>
                <w:szCs w:val="24"/>
              </w:rPr>
              <w:t>0.10</w:t>
            </w:r>
          </w:p>
        </w:tc>
      </w:tr>
      <w:tr w:rsidR="003407C3" w:rsidRPr="001A122C" w14:paraId="2F7D08E0" w14:textId="77777777" w:rsidTr="00AF5787">
        <w:trPr>
          <w:trHeight w:val="231"/>
        </w:trPr>
        <w:tc>
          <w:tcPr>
            <w:tcW w:w="1880" w:type="pct"/>
            <w:hideMark/>
          </w:tcPr>
          <w:p w14:paraId="00C26B2C" w14:textId="77777777" w:rsidR="003407C3" w:rsidRPr="008A6F48" w:rsidRDefault="003407C3" w:rsidP="00AF5787">
            <w:pPr>
              <w:spacing w:before="60" w:after="60" w:line="240" w:lineRule="auto"/>
              <w:rPr>
                <w:rFonts w:asciiTheme="majorBidi" w:hAnsiTheme="majorBidi" w:cstheme="majorBidi"/>
                <w:b/>
                <w:bCs/>
                <w:sz w:val="24"/>
                <w:szCs w:val="24"/>
              </w:rPr>
            </w:pPr>
            <w:r w:rsidRPr="008A6F48">
              <w:rPr>
                <w:rFonts w:asciiTheme="majorBidi" w:hAnsiTheme="majorBidi" w:cstheme="majorBidi"/>
                <w:b/>
                <w:bCs/>
                <w:sz w:val="24"/>
                <w:szCs w:val="24"/>
              </w:rPr>
              <w:t>NIV</w:t>
            </w:r>
          </w:p>
        </w:tc>
        <w:tc>
          <w:tcPr>
            <w:tcW w:w="1333" w:type="pct"/>
          </w:tcPr>
          <w:p w14:paraId="3D962943" w14:textId="0843F9E4" w:rsidR="003407C3" w:rsidRPr="001A122C" w:rsidRDefault="003407C3" w:rsidP="00AF5787">
            <w:pPr>
              <w:spacing w:before="60" w:after="60" w:line="240" w:lineRule="auto"/>
              <w:jc w:val="center"/>
              <w:rPr>
                <w:lang w:bidi="ar-EG"/>
              </w:rPr>
            </w:pPr>
            <w:r>
              <w:rPr>
                <w:rFonts w:asciiTheme="majorBidi" w:hAnsiTheme="majorBidi" w:cstheme="majorBidi"/>
                <w:sz w:val="24"/>
                <w:szCs w:val="24"/>
              </w:rPr>
              <w:t>5 (16.7%)</w:t>
            </w:r>
          </w:p>
        </w:tc>
        <w:tc>
          <w:tcPr>
            <w:tcW w:w="1192" w:type="pct"/>
          </w:tcPr>
          <w:p w14:paraId="44B9C49C" w14:textId="32D644D8" w:rsidR="003407C3" w:rsidRPr="001A122C" w:rsidRDefault="003407C3" w:rsidP="00AF5787">
            <w:pPr>
              <w:spacing w:before="60" w:after="60" w:line="240" w:lineRule="auto"/>
              <w:jc w:val="center"/>
            </w:pPr>
            <w:r>
              <w:rPr>
                <w:rFonts w:asciiTheme="majorBidi" w:hAnsiTheme="majorBidi" w:cstheme="majorBidi"/>
                <w:sz w:val="24"/>
                <w:szCs w:val="24"/>
              </w:rPr>
              <w:t>28 (40%)</w:t>
            </w:r>
          </w:p>
        </w:tc>
        <w:tc>
          <w:tcPr>
            <w:tcW w:w="595" w:type="pct"/>
          </w:tcPr>
          <w:p w14:paraId="25B86EBD" w14:textId="611BE1F7" w:rsidR="003407C3" w:rsidRPr="001A122C" w:rsidRDefault="003407C3" w:rsidP="00AF5787">
            <w:pPr>
              <w:spacing w:before="60" w:after="60" w:line="240" w:lineRule="auto"/>
              <w:jc w:val="center"/>
            </w:pPr>
            <w:r>
              <w:rPr>
                <w:rFonts w:asciiTheme="majorBidi" w:hAnsiTheme="majorBidi" w:cstheme="majorBidi"/>
                <w:b/>
                <w:bCs/>
                <w:sz w:val="24"/>
                <w:szCs w:val="24"/>
              </w:rPr>
              <w:t>&lt; 0.001</w:t>
            </w:r>
          </w:p>
        </w:tc>
      </w:tr>
      <w:tr w:rsidR="003407C3" w:rsidRPr="001A122C" w14:paraId="6236CD43" w14:textId="77777777" w:rsidTr="00AF5787">
        <w:trPr>
          <w:trHeight w:val="79"/>
        </w:trPr>
        <w:tc>
          <w:tcPr>
            <w:tcW w:w="1880" w:type="pct"/>
            <w:hideMark/>
          </w:tcPr>
          <w:p w14:paraId="6ACA4666" w14:textId="77777777" w:rsidR="003407C3" w:rsidRPr="008A6F48" w:rsidRDefault="003407C3" w:rsidP="00AF5787">
            <w:pPr>
              <w:spacing w:before="60" w:after="60" w:line="240" w:lineRule="auto"/>
              <w:rPr>
                <w:rFonts w:asciiTheme="majorBidi" w:hAnsiTheme="majorBidi" w:cstheme="majorBidi"/>
                <w:b/>
                <w:bCs/>
                <w:sz w:val="24"/>
                <w:szCs w:val="24"/>
              </w:rPr>
            </w:pPr>
            <w:r w:rsidRPr="008A6F48">
              <w:rPr>
                <w:rFonts w:asciiTheme="majorBidi" w:hAnsiTheme="majorBidi" w:cstheme="majorBidi"/>
                <w:b/>
                <w:bCs/>
                <w:sz w:val="24"/>
                <w:szCs w:val="24"/>
              </w:rPr>
              <w:t>MV</w:t>
            </w:r>
          </w:p>
        </w:tc>
        <w:tc>
          <w:tcPr>
            <w:tcW w:w="1333" w:type="pct"/>
          </w:tcPr>
          <w:p w14:paraId="6CFBACC4" w14:textId="05B8B639" w:rsidR="003407C3" w:rsidRPr="001A122C" w:rsidRDefault="003407C3" w:rsidP="00AF5787">
            <w:pPr>
              <w:spacing w:before="60" w:after="60" w:line="240" w:lineRule="auto"/>
              <w:jc w:val="center"/>
            </w:pPr>
            <w:r>
              <w:rPr>
                <w:rFonts w:asciiTheme="majorBidi" w:hAnsiTheme="majorBidi" w:cstheme="majorBidi"/>
                <w:sz w:val="24"/>
                <w:szCs w:val="24"/>
              </w:rPr>
              <w:t>3 (10%)</w:t>
            </w:r>
          </w:p>
        </w:tc>
        <w:tc>
          <w:tcPr>
            <w:tcW w:w="1192" w:type="pct"/>
          </w:tcPr>
          <w:p w14:paraId="0E1FC2D5" w14:textId="1A3354FE" w:rsidR="003407C3" w:rsidRPr="001A122C" w:rsidRDefault="003407C3" w:rsidP="00AF5787">
            <w:pPr>
              <w:spacing w:before="60" w:after="60" w:line="240" w:lineRule="auto"/>
              <w:jc w:val="center"/>
            </w:pPr>
            <w:r>
              <w:rPr>
                <w:rFonts w:asciiTheme="majorBidi" w:hAnsiTheme="majorBidi" w:cstheme="majorBidi"/>
                <w:sz w:val="24"/>
                <w:szCs w:val="24"/>
              </w:rPr>
              <w:t>28 (40%)</w:t>
            </w:r>
          </w:p>
        </w:tc>
        <w:tc>
          <w:tcPr>
            <w:tcW w:w="595" w:type="pct"/>
          </w:tcPr>
          <w:p w14:paraId="738220F2" w14:textId="3E505529" w:rsidR="003407C3" w:rsidRPr="001A122C" w:rsidRDefault="003407C3" w:rsidP="00AF5787">
            <w:pPr>
              <w:spacing w:before="60" w:after="60" w:line="240" w:lineRule="auto"/>
              <w:jc w:val="center"/>
            </w:pPr>
            <w:r>
              <w:rPr>
                <w:rFonts w:asciiTheme="majorBidi" w:hAnsiTheme="majorBidi" w:cstheme="majorBidi"/>
                <w:b/>
                <w:bCs/>
                <w:sz w:val="24"/>
                <w:szCs w:val="24"/>
              </w:rPr>
              <w:t>&lt; 0.001</w:t>
            </w:r>
          </w:p>
        </w:tc>
      </w:tr>
    </w:tbl>
    <w:p w14:paraId="097E2D4B" w14:textId="52BF5349" w:rsidR="00D824E3" w:rsidRPr="008F27AB" w:rsidRDefault="00D824E3" w:rsidP="008F27AB">
      <w:pPr>
        <w:spacing w:before="120" w:after="0" w:line="360" w:lineRule="auto"/>
        <w:jc w:val="both"/>
        <w:rPr>
          <w:rFonts w:asciiTheme="majorBidi" w:hAnsiTheme="majorBidi" w:cstheme="majorBidi"/>
          <w:sz w:val="2"/>
          <w:szCs w:val="2"/>
          <w:lang w:val="fr-FR" w:bidi="ar-EG"/>
        </w:rPr>
      </w:pPr>
      <w:r w:rsidRPr="00957406">
        <w:rPr>
          <w:rFonts w:asciiTheme="majorBidi" w:hAnsiTheme="majorBidi" w:cstheme="majorBidi"/>
          <w:color w:val="FF0000"/>
          <w:sz w:val="2"/>
          <w:szCs w:val="2"/>
          <w:lang w:val="fr-FR" w:bidi="ar-EG"/>
        </w:rPr>
        <w:t>*N</w:t>
      </w:r>
      <w:r w:rsidRPr="00957406">
        <w:rPr>
          <w:rFonts w:asciiTheme="majorBidi" w:hAnsiTheme="majorBidi" w:cstheme="majorBidi"/>
          <w:color w:val="FF0000"/>
          <w:sz w:val="24"/>
          <w:szCs w:val="24"/>
          <w:lang w:val="fr-FR"/>
        </w:rPr>
        <w:t>*NIV</w:t>
      </w:r>
      <w:r w:rsidR="008F27AB" w:rsidRPr="00957406">
        <w:rPr>
          <w:rFonts w:asciiTheme="majorBidi" w:hAnsiTheme="majorBidi" w:cstheme="majorBidi"/>
          <w:color w:val="FF0000"/>
          <w:sz w:val="24"/>
          <w:szCs w:val="24"/>
          <w:lang w:val="fr-FR"/>
        </w:rPr>
        <w:t xml:space="preserve"> </w:t>
      </w:r>
      <w:r w:rsidRPr="00957406">
        <w:rPr>
          <w:rFonts w:asciiTheme="majorBidi" w:hAnsiTheme="majorBidi" w:cstheme="majorBidi"/>
          <w:color w:val="FF0000"/>
          <w:sz w:val="24"/>
          <w:szCs w:val="24"/>
          <w:lang w:val="fr-FR"/>
        </w:rPr>
        <w:t>: Non invasive ventilation, MV :</w:t>
      </w:r>
      <w:r w:rsidR="008F27AB" w:rsidRPr="00957406">
        <w:rPr>
          <w:rFonts w:asciiTheme="majorBidi" w:hAnsiTheme="majorBidi" w:cstheme="majorBidi"/>
          <w:color w:val="FF0000"/>
          <w:sz w:val="24"/>
          <w:szCs w:val="24"/>
          <w:lang w:val="fr-FR"/>
        </w:rPr>
        <w:t xml:space="preserve"> </w:t>
      </w:r>
      <w:proofErr w:type="spellStart"/>
      <w:r w:rsidRPr="00957406">
        <w:rPr>
          <w:rFonts w:asciiTheme="majorBidi" w:hAnsiTheme="majorBidi" w:cstheme="majorBidi"/>
          <w:color w:val="FF0000"/>
          <w:sz w:val="24"/>
          <w:szCs w:val="24"/>
          <w:lang w:val="fr-FR"/>
        </w:rPr>
        <w:t>mechanical</w:t>
      </w:r>
      <w:proofErr w:type="spellEnd"/>
      <w:r w:rsidRPr="00957406">
        <w:rPr>
          <w:rFonts w:asciiTheme="majorBidi" w:hAnsiTheme="majorBidi" w:cstheme="majorBidi"/>
          <w:color w:val="FF0000"/>
          <w:sz w:val="24"/>
          <w:szCs w:val="24"/>
          <w:lang w:val="fr-FR"/>
        </w:rPr>
        <w:t xml:space="preserve"> </w:t>
      </w:r>
      <w:proofErr w:type="gramStart"/>
      <w:r w:rsidRPr="00957406">
        <w:rPr>
          <w:rFonts w:asciiTheme="majorBidi" w:hAnsiTheme="majorBidi" w:cstheme="majorBidi"/>
          <w:color w:val="FF0000"/>
          <w:sz w:val="24"/>
          <w:szCs w:val="24"/>
          <w:lang w:val="fr-FR"/>
        </w:rPr>
        <w:t>ventilation</w:t>
      </w:r>
      <w:r w:rsidR="00957406" w:rsidRPr="00957406">
        <w:rPr>
          <w:rFonts w:asciiTheme="majorBidi" w:hAnsiTheme="majorBidi" w:cstheme="majorBidi"/>
          <w:color w:val="FF0000"/>
          <w:sz w:val="20"/>
          <w:szCs w:val="20"/>
          <w:lang w:bidi="ar-EG"/>
        </w:rPr>
        <w:t>.(</w:t>
      </w:r>
      <w:proofErr w:type="gramEnd"/>
      <w:r w:rsidR="00957406" w:rsidRPr="00957406">
        <w:rPr>
          <w:rFonts w:asciiTheme="majorBidi" w:hAnsiTheme="majorBidi" w:cstheme="majorBidi"/>
          <w:color w:val="FF0000"/>
          <w:sz w:val="20"/>
          <w:szCs w:val="20"/>
          <w:lang w:bidi="ar-EG"/>
        </w:rPr>
        <w:t xml:space="preserve"> </w:t>
      </w:r>
      <w:r w:rsidR="00957406">
        <w:rPr>
          <w:rFonts w:asciiTheme="majorBidi" w:hAnsiTheme="majorBidi" w:cstheme="majorBidi"/>
          <w:color w:val="FF0000"/>
          <w:sz w:val="20"/>
          <w:szCs w:val="20"/>
          <w:lang w:bidi="ar-EG"/>
        </w:rPr>
        <w:t>revised and done).</w:t>
      </w:r>
    </w:p>
    <w:p w14:paraId="1F92A450" w14:textId="5FDD4890" w:rsidR="00180D16" w:rsidRDefault="00FF2030" w:rsidP="00AF5787">
      <w:pPr>
        <w:spacing w:before="120" w:after="0" w:line="360" w:lineRule="auto"/>
        <w:ind w:firstLine="720"/>
        <w:jc w:val="both"/>
        <w:rPr>
          <w:rFonts w:asciiTheme="majorBidi" w:hAnsiTheme="majorBidi" w:cstheme="majorBidi"/>
          <w:color w:val="242021"/>
          <w:sz w:val="24"/>
          <w:szCs w:val="24"/>
        </w:rPr>
      </w:pPr>
      <w:r>
        <w:rPr>
          <w:rFonts w:asciiTheme="majorBidi" w:hAnsiTheme="majorBidi" w:cstheme="majorBidi"/>
          <w:color w:val="242021"/>
          <w:sz w:val="24"/>
          <w:szCs w:val="24"/>
        </w:rPr>
        <w:lastRenderedPageBreak/>
        <w:t>At follow-up a</w:t>
      </w:r>
      <w:r w:rsidR="00180D16" w:rsidRPr="00DF4774">
        <w:rPr>
          <w:rFonts w:asciiTheme="majorBidi" w:hAnsiTheme="majorBidi" w:cstheme="majorBidi"/>
          <w:color w:val="242021"/>
          <w:sz w:val="24"/>
          <w:szCs w:val="24"/>
        </w:rPr>
        <w:t>fter</w:t>
      </w:r>
      <w:r w:rsidR="000B15E7">
        <w:rPr>
          <w:rFonts w:asciiTheme="majorBidi" w:hAnsiTheme="majorBidi" w:cstheme="majorBidi"/>
          <w:color w:val="242021"/>
          <w:sz w:val="24"/>
          <w:szCs w:val="24"/>
        </w:rPr>
        <w:t xml:space="preserve"> recovery</w:t>
      </w:r>
      <w:r>
        <w:rPr>
          <w:rFonts w:asciiTheme="majorBidi" w:hAnsiTheme="majorBidi" w:cstheme="majorBidi"/>
          <w:color w:val="242021"/>
          <w:sz w:val="24"/>
          <w:szCs w:val="24"/>
        </w:rPr>
        <w:t xml:space="preserve">, </w:t>
      </w:r>
      <w:proofErr w:type="spellStart"/>
      <w:r w:rsidR="00180D16" w:rsidRPr="00DF4774">
        <w:rPr>
          <w:rFonts w:asciiTheme="majorBidi" w:hAnsiTheme="majorBidi" w:cstheme="majorBidi"/>
          <w:color w:val="242021"/>
          <w:sz w:val="24"/>
          <w:szCs w:val="24"/>
        </w:rPr>
        <w:t>apart</w:t>
      </w:r>
      <w:proofErr w:type="spellEnd"/>
      <w:r w:rsidR="00180D16" w:rsidRPr="00DF4774">
        <w:rPr>
          <w:rFonts w:asciiTheme="majorBidi" w:hAnsiTheme="majorBidi" w:cstheme="majorBidi"/>
          <w:color w:val="242021"/>
          <w:sz w:val="24"/>
          <w:szCs w:val="24"/>
        </w:rPr>
        <w:t xml:space="preserve"> of</w:t>
      </w:r>
      <w:r w:rsidR="008A6F48">
        <w:rPr>
          <w:rFonts w:asciiTheme="majorBidi" w:hAnsiTheme="majorBidi" w:cstheme="majorBidi"/>
          <w:color w:val="242021"/>
          <w:sz w:val="24"/>
          <w:szCs w:val="24"/>
        </w:rPr>
        <w:t xml:space="preserve"> significant</w:t>
      </w:r>
      <w:r w:rsidR="00180D16" w:rsidRPr="00DF4774">
        <w:rPr>
          <w:rFonts w:asciiTheme="majorBidi" w:hAnsiTheme="majorBidi" w:cstheme="majorBidi"/>
          <w:color w:val="242021"/>
          <w:sz w:val="24"/>
          <w:szCs w:val="24"/>
        </w:rPr>
        <w:t xml:space="preserve"> lower Hemoglobin and platelets in CLD patients</w:t>
      </w:r>
      <w:r w:rsidR="00DF4774" w:rsidRPr="00DF4774">
        <w:rPr>
          <w:rFonts w:asciiTheme="majorBidi" w:hAnsiTheme="majorBidi" w:cstheme="majorBidi"/>
          <w:color w:val="242021"/>
          <w:sz w:val="24"/>
          <w:szCs w:val="24"/>
        </w:rPr>
        <w:t>, no</w:t>
      </w:r>
      <w:r w:rsidR="00180D16" w:rsidRPr="00DF4774">
        <w:rPr>
          <w:rFonts w:asciiTheme="majorBidi" w:hAnsiTheme="majorBidi" w:cstheme="majorBidi"/>
          <w:color w:val="242021"/>
          <w:sz w:val="24"/>
          <w:szCs w:val="24"/>
        </w:rPr>
        <w:t xml:space="preserve"> </w:t>
      </w:r>
      <w:r w:rsidR="00900B90">
        <w:rPr>
          <w:rFonts w:asciiTheme="majorBidi" w:hAnsiTheme="majorBidi" w:cstheme="majorBidi"/>
          <w:color w:val="242021"/>
          <w:sz w:val="24"/>
          <w:szCs w:val="24"/>
        </w:rPr>
        <w:t>substantial variations</w:t>
      </w:r>
      <w:r w:rsidR="00180D16" w:rsidRPr="00DF4774">
        <w:rPr>
          <w:rFonts w:asciiTheme="majorBidi" w:hAnsiTheme="majorBidi" w:cstheme="majorBidi"/>
          <w:color w:val="242021"/>
          <w:sz w:val="24"/>
          <w:szCs w:val="24"/>
        </w:rPr>
        <w:t xml:space="preserve"> </w:t>
      </w:r>
      <w:r w:rsidR="00DF4774" w:rsidRPr="00DF4774">
        <w:rPr>
          <w:rFonts w:asciiTheme="majorBidi" w:hAnsiTheme="majorBidi" w:cstheme="majorBidi"/>
          <w:color w:val="242021"/>
          <w:sz w:val="24"/>
          <w:szCs w:val="24"/>
        </w:rPr>
        <w:t xml:space="preserve">were found </w:t>
      </w:r>
      <w:r w:rsidR="00180D16" w:rsidRPr="00DF4774">
        <w:rPr>
          <w:rFonts w:asciiTheme="majorBidi" w:hAnsiTheme="majorBidi" w:cstheme="majorBidi"/>
          <w:color w:val="242021"/>
          <w:sz w:val="24"/>
          <w:szCs w:val="24"/>
        </w:rPr>
        <w:t xml:space="preserve">between both groups </w:t>
      </w:r>
      <w:r w:rsidR="00900B90">
        <w:rPr>
          <w:rFonts w:asciiTheme="majorBidi" w:hAnsiTheme="majorBidi" w:cstheme="majorBidi"/>
          <w:color w:val="242021"/>
          <w:sz w:val="24"/>
          <w:szCs w:val="24"/>
        </w:rPr>
        <w:t xml:space="preserve">as </w:t>
      </w:r>
      <w:r w:rsidR="00180D16" w:rsidRPr="00DF4774">
        <w:rPr>
          <w:rFonts w:asciiTheme="majorBidi" w:hAnsiTheme="majorBidi" w:cstheme="majorBidi"/>
          <w:color w:val="242021"/>
          <w:sz w:val="24"/>
          <w:szCs w:val="24"/>
        </w:rPr>
        <w:t>regard laboratory variables</w:t>
      </w:r>
      <w:r w:rsidR="00DF4774" w:rsidRPr="00DF4774">
        <w:rPr>
          <w:rFonts w:asciiTheme="majorBidi" w:hAnsiTheme="majorBidi" w:cstheme="majorBidi"/>
          <w:color w:val="242021"/>
          <w:sz w:val="24"/>
          <w:szCs w:val="24"/>
        </w:rPr>
        <w:t xml:space="preserve"> (Table 3)</w:t>
      </w:r>
      <w:r w:rsidR="00180D16" w:rsidRPr="00DF4774">
        <w:rPr>
          <w:rFonts w:asciiTheme="majorBidi" w:hAnsiTheme="majorBidi" w:cstheme="majorBidi"/>
          <w:color w:val="242021"/>
          <w:sz w:val="24"/>
          <w:szCs w:val="24"/>
        </w:rPr>
        <w:t xml:space="preserve">. </w:t>
      </w:r>
    </w:p>
    <w:p w14:paraId="433D9479" w14:textId="65A8095F" w:rsidR="008A6F48" w:rsidRPr="008A6F48" w:rsidRDefault="008A6F48" w:rsidP="00AF5787">
      <w:pPr>
        <w:spacing w:before="120" w:after="0" w:line="360" w:lineRule="auto"/>
        <w:jc w:val="both"/>
        <w:rPr>
          <w:rFonts w:ascii="Calibri" w:eastAsia="Calibri" w:hAnsi="Calibri" w:cs="Arial"/>
          <w:sz w:val="24"/>
          <w:szCs w:val="24"/>
        </w:rPr>
      </w:pPr>
      <w:r w:rsidRPr="008A6F48">
        <w:rPr>
          <w:rFonts w:ascii="Times New Roman" w:eastAsia="Calibri" w:hAnsi="Times New Roman" w:cs="Times New Roman"/>
          <w:b/>
          <w:bCs/>
          <w:sz w:val="24"/>
          <w:szCs w:val="24"/>
          <w:lang w:bidi="ar-EG"/>
        </w:rPr>
        <w:t>Table 3:  follow-up laboratory data of the studied COVID19 patients</w:t>
      </w:r>
      <w:r w:rsidRPr="008A6F48">
        <w:rPr>
          <w:rFonts w:ascii="Calibri" w:eastAsia="Calibri" w:hAnsi="Calibri" w:cs="Arial"/>
          <w:sz w:val="24"/>
          <w:szCs w:val="24"/>
        </w:rPr>
        <w:t xml:space="preserve"> </w:t>
      </w:r>
    </w:p>
    <w:tbl>
      <w:tblPr>
        <w:tblStyle w:val="TableGrid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48"/>
        <w:gridCol w:w="2477"/>
        <w:gridCol w:w="2610"/>
        <w:gridCol w:w="994"/>
      </w:tblGrid>
      <w:tr w:rsidR="008A6F48" w:rsidRPr="003407C3" w14:paraId="1001274A" w14:textId="77777777" w:rsidTr="00AF5787">
        <w:trPr>
          <w:trHeight w:val="97"/>
        </w:trPr>
        <w:tc>
          <w:tcPr>
            <w:tcW w:w="1435" w:type="pct"/>
            <w:vMerge w:val="restart"/>
            <w:tcBorders>
              <w:top w:val="single" w:sz="18" w:space="0" w:color="auto"/>
              <w:bottom w:val="single" w:sz="4" w:space="0" w:color="auto"/>
            </w:tcBorders>
          </w:tcPr>
          <w:p w14:paraId="47DAC5AF" w14:textId="77777777" w:rsidR="008A6F48" w:rsidRPr="003407C3" w:rsidRDefault="008A6F48" w:rsidP="00AF5787">
            <w:pPr>
              <w:spacing w:before="60" w:after="60" w:line="240" w:lineRule="auto"/>
              <w:jc w:val="center"/>
            </w:pPr>
          </w:p>
        </w:tc>
        <w:tc>
          <w:tcPr>
            <w:tcW w:w="2982" w:type="pct"/>
            <w:gridSpan w:val="2"/>
            <w:tcBorders>
              <w:top w:val="single" w:sz="18" w:space="0" w:color="auto"/>
              <w:bottom w:val="single" w:sz="4" w:space="0" w:color="auto"/>
            </w:tcBorders>
            <w:hideMark/>
          </w:tcPr>
          <w:p w14:paraId="2EDE9E1F" w14:textId="12EFE414" w:rsidR="008A6F48" w:rsidRPr="008A6F48" w:rsidRDefault="008A6F48" w:rsidP="00AF5787">
            <w:pPr>
              <w:spacing w:before="60" w:after="60" w:line="240" w:lineRule="auto"/>
              <w:jc w:val="center"/>
              <w:rPr>
                <w:rFonts w:asciiTheme="majorBidi" w:hAnsiTheme="majorBidi" w:cstheme="majorBidi"/>
                <w:sz w:val="24"/>
                <w:szCs w:val="24"/>
              </w:rPr>
            </w:pPr>
            <w:r w:rsidRPr="008A6F48">
              <w:rPr>
                <w:rFonts w:ascii="Times New Roman" w:hAnsi="Times New Roman" w:cs="Times New Roman"/>
                <w:b/>
                <w:bCs/>
                <w:sz w:val="24"/>
                <w:szCs w:val="24"/>
                <w:lang w:bidi="ar-EG"/>
              </w:rPr>
              <w:t>Patients with chronic liver disease</w:t>
            </w:r>
          </w:p>
        </w:tc>
        <w:tc>
          <w:tcPr>
            <w:tcW w:w="583" w:type="pct"/>
            <w:vMerge w:val="restart"/>
            <w:tcBorders>
              <w:top w:val="single" w:sz="18" w:space="0" w:color="auto"/>
              <w:bottom w:val="single" w:sz="4" w:space="0" w:color="auto"/>
            </w:tcBorders>
            <w:vAlign w:val="center"/>
            <w:hideMark/>
          </w:tcPr>
          <w:p w14:paraId="2D64D30B" w14:textId="6AE19EE8" w:rsidR="008A6F48" w:rsidRPr="003407C3" w:rsidRDefault="008A6F48" w:rsidP="00AF5787">
            <w:pPr>
              <w:spacing w:before="60" w:after="60" w:line="240" w:lineRule="auto"/>
              <w:jc w:val="center"/>
            </w:pPr>
            <w:r>
              <w:rPr>
                <w:rFonts w:ascii="Times New Roman" w:hAnsi="Times New Roman" w:cs="Times New Roman"/>
                <w:b/>
                <w:bCs/>
                <w:sz w:val="24"/>
                <w:szCs w:val="24"/>
                <w:lang w:bidi="ar-EG"/>
              </w:rPr>
              <w:t>P</w:t>
            </w:r>
          </w:p>
        </w:tc>
      </w:tr>
      <w:tr w:rsidR="008A6F48" w:rsidRPr="003407C3" w14:paraId="74CBA28F" w14:textId="77777777" w:rsidTr="00AF5787">
        <w:trPr>
          <w:trHeight w:val="152"/>
        </w:trPr>
        <w:tc>
          <w:tcPr>
            <w:tcW w:w="1435" w:type="pct"/>
            <w:vMerge/>
            <w:tcBorders>
              <w:top w:val="single" w:sz="4" w:space="0" w:color="auto"/>
              <w:bottom w:val="single" w:sz="18" w:space="0" w:color="auto"/>
            </w:tcBorders>
            <w:vAlign w:val="center"/>
            <w:hideMark/>
          </w:tcPr>
          <w:p w14:paraId="174CF0A4" w14:textId="77777777" w:rsidR="008A6F48" w:rsidRPr="003407C3" w:rsidRDefault="008A6F48" w:rsidP="00AF5787">
            <w:pPr>
              <w:spacing w:before="60" w:after="60" w:line="240" w:lineRule="auto"/>
            </w:pPr>
          </w:p>
        </w:tc>
        <w:tc>
          <w:tcPr>
            <w:tcW w:w="1452" w:type="pct"/>
            <w:tcBorders>
              <w:top w:val="single" w:sz="4" w:space="0" w:color="auto"/>
              <w:bottom w:val="single" w:sz="18" w:space="0" w:color="auto"/>
            </w:tcBorders>
            <w:hideMark/>
          </w:tcPr>
          <w:p w14:paraId="7DB8843D" w14:textId="5A30761C" w:rsidR="008A6F48" w:rsidRPr="008A6F48" w:rsidRDefault="008A6F48" w:rsidP="00AF5787">
            <w:pPr>
              <w:spacing w:before="60" w:after="60" w:line="240" w:lineRule="auto"/>
              <w:jc w:val="center"/>
              <w:rPr>
                <w:rFonts w:asciiTheme="majorBidi" w:hAnsiTheme="majorBidi" w:cstheme="majorBidi"/>
                <w:sz w:val="24"/>
                <w:szCs w:val="24"/>
              </w:rPr>
            </w:pPr>
            <w:r w:rsidRPr="008A6F48">
              <w:rPr>
                <w:rFonts w:ascii="Times New Roman" w:hAnsi="Times New Roman" w:cs="Times New Roman"/>
                <w:b/>
                <w:bCs/>
                <w:sz w:val="24"/>
                <w:szCs w:val="24"/>
                <w:lang w:bidi="ar-EG"/>
              </w:rPr>
              <w:t>No (n= 30)</w:t>
            </w:r>
          </w:p>
        </w:tc>
        <w:tc>
          <w:tcPr>
            <w:tcW w:w="1530" w:type="pct"/>
            <w:tcBorders>
              <w:top w:val="single" w:sz="4" w:space="0" w:color="auto"/>
              <w:bottom w:val="single" w:sz="18" w:space="0" w:color="auto"/>
            </w:tcBorders>
            <w:hideMark/>
          </w:tcPr>
          <w:p w14:paraId="2AB60F00" w14:textId="0BF67509" w:rsidR="008A6F48" w:rsidRPr="008A6F48" w:rsidRDefault="008A6F48" w:rsidP="00AF5787">
            <w:pPr>
              <w:spacing w:before="60" w:after="60" w:line="240" w:lineRule="auto"/>
              <w:jc w:val="center"/>
              <w:rPr>
                <w:rFonts w:asciiTheme="majorBidi" w:hAnsiTheme="majorBidi" w:cstheme="majorBidi"/>
                <w:sz w:val="24"/>
                <w:szCs w:val="24"/>
              </w:rPr>
            </w:pPr>
            <w:r w:rsidRPr="008A6F48">
              <w:rPr>
                <w:rFonts w:ascii="Times New Roman" w:hAnsi="Times New Roman" w:cs="Times New Roman"/>
                <w:b/>
                <w:bCs/>
                <w:sz w:val="24"/>
                <w:szCs w:val="24"/>
                <w:lang w:bidi="ar-EG"/>
              </w:rPr>
              <w:t>No (n= 30)</w:t>
            </w:r>
          </w:p>
        </w:tc>
        <w:tc>
          <w:tcPr>
            <w:tcW w:w="583" w:type="pct"/>
            <w:vMerge/>
            <w:tcBorders>
              <w:top w:val="single" w:sz="4" w:space="0" w:color="auto"/>
              <w:bottom w:val="single" w:sz="18" w:space="0" w:color="auto"/>
            </w:tcBorders>
            <w:vAlign w:val="center"/>
            <w:hideMark/>
          </w:tcPr>
          <w:p w14:paraId="256A29A0" w14:textId="77777777" w:rsidR="008A6F48" w:rsidRPr="003407C3" w:rsidRDefault="008A6F48" w:rsidP="00AF5787">
            <w:pPr>
              <w:spacing w:before="60" w:after="60" w:line="240" w:lineRule="auto"/>
            </w:pPr>
          </w:p>
        </w:tc>
      </w:tr>
      <w:tr w:rsidR="00C60592" w:rsidRPr="003407C3" w14:paraId="7C89C0EC" w14:textId="77777777" w:rsidTr="00AF5787">
        <w:trPr>
          <w:trHeight w:val="235"/>
        </w:trPr>
        <w:tc>
          <w:tcPr>
            <w:tcW w:w="1435" w:type="pct"/>
            <w:tcBorders>
              <w:top w:val="single" w:sz="18" w:space="0" w:color="auto"/>
            </w:tcBorders>
            <w:hideMark/>
          </w:tcPr>
          <w:p w14:paraId="43283412" w14:textId="0185469C" w:rsidR="00C60592" w:rsidRPr="008A6F48" w:rsidRDefault="00C60592" w:rsidP="00AF5787">
            <w:pPr>
              <w:spacing w:before="60" w:after="60" w:line="240" w:lineRule="auto"/>
              <w:rPr>
                <w:rFonts w:asciiTheme="majorBidi" w:hAnsiTheme="majorBidi" w:cstheme="majorBidi"/>
                <w:b/>
                <w:bCs/>
                <w:sz w:val="24"/>
                <w:szCs w:val="24"/>
              </w:rPr>
            </w:pPr>
            <w:r w:rsidRPr="008A6F48">
              <w:rPr>
                <w:rFonts w:asciiTheme="majorBidi" w:hAnsiTheme="majorBidi" w:cstheme="majorBidi"/>
                <w:b/>
                <w:bCs/>
                <w:sz w:val="24"/>
                <w:szCs w:val="24"/>
              </w:rPr>
              <w:t xml:space="preserve">Leucocytes </w:t>
            </w:r>
            <w:r w:rsidR="009760D9" w:rsidRPr="009760D9">
              <w:rPr>
                <w:rFonts w:asciiTheme="majorBidi" w:hAnsiTheme="majorBidi" w:cstheme="majorBidi"/>
                <w:b/>
                <w:bCs/>
                <w:sz w:val="24"/>
                <w:szCs w:val="24"/>
              </w:rPr>
              <w:t>(10</w:t>
            </w:r>
            <w:r w:rsidR="009760D9" w:rsidRPr="009760D9">
              <w:rPr>
                <w:rFonts w:asciiTheme="majorBidi" w:hAnsiTheme="majorBidi" w:cstheme="majorBidi"/>
                <w:b/>
                <w:bCs/>
                <w:sz w:val="24"/>
                <w:szCs w:val="24"/>
                <w:vertAlign w:val="superscript"/>
              </w:rPr>
              <w:t>3</w:t>
            </w:r>
            <w:r w:rsidR="009760D9" w:rsidRPr="009760D9">
              <w:rPr>
                <w:rFonts w:asciiTheme="majorBidi" w:hAnsiTheme="majorBidi" w:cstheme="majorBidi"/>
                <w:b/>
                <w:bCs/>
                <w:sz w:val="24"/>
                <w:szCs w:val="24"/>
              </w:rPr>
              <w:t>/ul)</w:t>
            </w:r>
          </w:p>
        </w:tc>
        <w:tc>
          <w:tcPr>
            <w:tcW w:w="1452" w:type="pct"/>
            <w:tcBorders>
              <w:top w:val="single" w:sz="18" w:space="0" w:color="auto"/>
            </w:tcBorders>
          </w:tcPr>
          <w:p w14:paraId="78627492" w14:textId="5F672507" w:rsidR="00C60592" w:rsidRPr="008A6F48" w:rsidRDefault="00C60592" w:rsidP="00AF5787">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5.22 ± 1.09</w:t>
            </w:r>
          </w:p>
        </w:tc>
        <w:tc>
          <w:tcPr>
            <w:tcW w:w="1530" w:type="pct"/>
            <w:tcBorders>
              <w:top w:val="single" w:sz="18" w:space="0" w:color="auto"/>
            </w:tcBorders>
          </w:tcPr>
          <w:p w14:paraId="741F03AA" w14:textId="13046EEA" w:rsidR="00C60592" w:rsidRPr="008A6F48" w:rsidRDefault="00C60592" w:rsidP="00AF5787">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5.14 ± 2.22</w:t>
            </w:r>
          </w:p>
        </w:tc>
        <w:tc>
          <w:tcPr>
            <w:tcW w:w="583" w:type="pct"/>
            <w:tcBorders>
              <w:top w:val="single" w:sz="18" w:space="0" w:color="auto"/>
            </w:tcBorders>
          </w:tcPr>
          <w:p w14:paraId="64DC8FE9" w14:textId="2C1FB3AB" w:rsidR="00C60592" w:rsidRPr="003407C3" w:rsidRDefault="00C60592" w:rsidP="00AF5787">
            <w:pPr>
              <w:spacing w:before="60" w:after="60" w:line="240" w:lineRule="auto"/>
              <w:jc w:val="center"/>
            </w:pPr>
            <w:r>
              <w:rPr>
                <w:rFonts w:asciiTheme="majorBidi" w:hAnsiTheme="majorBidi" w:cstheme="majorBidi"/>
                <w:sz w:val="24"/>
                <w:szCs w:val="24"/>
              </w:rPr>
              <w:t>0.19</w:t>
            </w:r>
          </w:p>
        </w:tc>
      </w:tr>
      <w:tr w:rsidR="00C60592" w:rsidRPr="003407C3" w14:paraId="2036D104" w14:textId="77777777" w:rsidTr="00AF5787">
        <w:trPr>
          <w:trHeight w:val="249"/>
        </w:trPr>
        <w:tc>
          <w:tcPr>
            <w:tcW w:w="1435" w:type="pct"/>
            <w:hideMark/>
          </w:tcPr>
          <w:p w14:paraId="4BBB116C" w14:textId="50300F20" w:rsidR="00C60592" w:rsidRPr="008A6F48" w:rsidRDefault="00C60592" w:rsidP="00AF5787">
            <w:pPr>
              <w:spacing w:before="60" w:after="60" w:line="240" w:lineRule="auto"/>
              <w:rPr>
                <w:rFonts w:asciiTheme="majorBidi" w:hAnsiTheme="majorBidi" w:cstheme="majorBidi"/>
                <w:b/>
                <w:bCs/>
                <w:sz w:val="24"/>
                <w:szCs w:val="24"/>
              </w:rPr>
            </w:pPr>
            <w:r w:rsidRPr="008A6F48">
              <w:rPr>
                <w:rFonts w:asciiTheme="majorBidi" w:hAnsiTheme="majorBidi" w:cstheme="majorBidi"/>
                <w:b/>
                <w:bCs/>
                <w:sz w:val="24"/>
                <w:szCs w:val="24"/>
              </w:rPr>
              <w:t xml:space="preserve">Lymphocytes </w:t>
            </w:r>
            <w:r w:rsidR="009760D9" w:rsidRPr="009760D9">
              <w:rPr>
                <w:rFonts w:asciiTheme="majorBidi" w:hAnsiTheme="majorBidi" w:cstheme="majorBidi"/>
                <w:b/>
                <w:bCs/>
                <w:sz w:val="24"/>
                <w:szCs w:val="24"/>
              </w:rPr>
              <w:t>(10</w:t>
            </w:r>
            <w:r w:rsidR="009760D9" w:rsidRPr="009760D9">
              <w:rPr>
                <w:rFonts w:asciiTheme="majorBidi" w:hAnsiTheme="majorBidi" w:cstheme="majorBidi"/>
                <w:b/>
                <w:bCs/>
                <w:sz w:val="24"/>
                <w:szCs w:val="24"/>
                <w:vertAlign w:val="superscript"/>
              </w:rPr>
              <w:t>3</w:t>
            </w:r>
            <w:r w:rsidR="009760D9" w:rsidRPr="009760D9">
              <w:rPr>
                <w:rFonts w:asciiTheme="majorBidi" w:hAnsiTheme="majorBidi" w:cstheme="majorBidi"/>
                <w:b/>
                <w:bCs/>
                <w:sz w:val="24"/>
                <w:szCs w:val="24"/>
              </w:rPr>
              <w:t>/ul)</w:t>
            </w:r>
          </w:p>
        </w:tc>
        <w:tc>
          <w:tcPr>
            <w:tcW w:w="1452" w:type="pct"/>
          </w:tcPr>
          <w:p w14:paraId="62984774" w14:textId="592F7019" w:rsidR="00C60592" w:rsidRPr="008A6F48" w:rsidRDefault="00C60592" w:rsidP="00AF5787">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1.56 ± 0.16</w:t>
            </w:r>
          </w:p>
        </w:tc>
        <w:tc>
          <w:tcPr>
            <w:tcW w:w="1530" w:type="pct"/>
          </w:tcPr>
          <w:p w14:paraId="06FA2A93" w14:textId="0BEC4FAB" w:rsidR="00C60592" w:rsidRPr="008A6F48" w:rsidRDefault="00C60592" w:rsidP="00AF5787">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1.60 ± 0.87</w:t>
            </w:r>
          </w:p>
        </w:tc>
        <w:tc>
          <w:tcPr>
            <w:tcW w:w="583" w:type="pct"/>
          </w:tcPr>
          <w:p w14:paraId="463FFF6D" w14:textId="03B90BC5" w:rsidR="00C60592" w:rsidRPr="003407C3" w:rsidRDefault="00C60592" w:rsidP="00AF5787">
            <w:pPr>
              <w:spacing w:before="60" w:after="60" w:line="240" w:lineRule="auto"/>
              <w:jc w:val="center"/>
            </w:pPr>
            <w:r>
              <w:rPr>
                <w:rFonts w:asciiTheme="majorBidi" w:hAnsiTheme="majorBidi" w:cstheme="majorBidi"/>
                <w:sz w:val="24"/>
                <w:szCs w:val="24"/>
              </w:rPr>
              <w:t>0.98</w:t>
            </w:r>
          </w:p>
        </w:tc>
      </w:tr>
      <w:tr w:rsidR="00C60592" w:rsidRPr="003407C3" w14:paraId="0B300F79" w14:textId="77777777" w:rsidTr="00AF5787">
        <w:trPr>
          <w:trHeight w:val="235"/>
        </w:trPr>
        <w:tc>
          <w:tcPr>
            <w:tcW w:w="1435" w:type="pct"/>
            <w:hideMark/>
          </w:tcPr>
          <w:p w14:paraId="71FD46D0" w14:textId="390B4D2A" w:rsidR="00C60592" w:rsidRPr="008A6F48" w:rsidRDefault="00C60592" w:rsidP="00AF5787">
            <w:pPr>
              <w:spacing w:before="60" w:after="60" w:line="240" w:lineRule="auto"/>
              <w:rPr>
                <w:rFonts w:asciiTheme="majorBidi" w:hAnsiTheme="majorBidi" w:cstheme="majorBidi"/>
                <w:b/>
                <w:bCs/>
                <w:sz w:val="24"/>
                <w:szCs w:val="24"/>
              </w:rPr>
            </w:pPr>
            <w:r w:rsidRPr="008A6F48">
              <w:rPr>
                <w:rFonts w:asciiTheme="majorBidi" w:hAnsiTheme="majorBidi" w:cstheme="majorBidi"/>
                <w:b/>
                <w:bCs/>
                <w:sz w:val="24"/>
                <w:szCs w:val="24"/>
              </w:rPr>
              <w:t xml:space="preserve">Hemoglobin </w:t>
            </w:r>
            <w:r w:rsidR="009760D9" w:rsidRPr="009760D9">
              <w:rPr>
                <w:rFonts w:asciiTheme="majorBidi" w:hAnsiTheme="majorBidi" w:cstheme="majorBidi"/>
                <w:b/>
                <w:bCs/>
                <w:sz w:val="24"/>
                <w:szCs w:val="24"/>
              </w:rPr>
              <w:t>(g/dl)</w:t>
            </w:r>
          </w:p>
        </w:tc>
        <w:tc>
          <w:tcPr>
            <w:tcW w:w="1452" w:type="pct"/>
          </w:tcPr>
          <w:p w14:paraId="1C929AE4" w14:textId="6D054454" w:rsidR="00C60592" w:rsidRPr="008A6F48" w:rsidRDefault="00C60592" w:rsidP="00AF5787">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11.99 ± 2.31</w:t>
            </w:r>
          </w:p>
        </w:tc>
        <w:tc>
          <w:tcPr>
            <w:tcW w:w="1530" w:type="pct"/>
          </w:tcPr>
          <w:p w14:paraId="3F4CE3EF" w14:textId="7E1B3A74" w:rsidR="00C60592" w:rsidRPr="008A6F48" w:rsidRDefault="00C60592" w:rsidP="00AF5787">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11.01 ± 2.23</w:t>
            </w:r>
          </w:p>
        </w:tc>
        <w:tc>
          <w:tcPr>
            <w:tcW w:w="583" w:type="pct"/>
          </w:tcPr>
          <w:p w14:paraId="03D13021" w14:textId="759E8294" w:rsidR="00C60592" w:rsidRPr="003407C3" w:rsidRDefault="00C60592" w:rsidP="00AF5787">
            <w:pPr>
              <w:spacing w:before="60" w:after="60" w:line="240" w:lineRule="auto"/>
              <w:jc w:val="center"/>
            </w:pPr>
            <w:r>
              <w:rPr>
                <w:rFonts w:asciiTheme="majorBidi" w:hAnsiTheme="majorBidi" w:cstheme="majorBidi"/>
                <w:b/>
                <w:bCs/>
                <w:sz w:val="24"/>
                <w:szCs w:val="24"/>
              </w:rPr>
              <w:t>&lt; 0.001</w:t>
            </w:r>
          </w:p>
        </w:tc>
      </w:tr>
      <w:tr w:rsidR="00C60592" w:rsidRPr="003407C3" w14:paraId="36904FA9" w14:textId="77777777" w:rsidTr="00AF5787">
        <w:trPr>
          <w:trHeight w:val="249"/>
        </w:trPr>
        <w:tc>
          <w:tcPr>
            <w:tcW w:w="1435" w:type="pct"/>
            <w:hideMark/>
          </w:tcPr>
          <w:p w14:paraId="4DCE523F" w14:textId="2EA67156" w:rsidR="00C60592" w:rsidRPr="008A6F48" w:rsidRDefault="00C60592" w:rsidP="00AF5787">
            <w:pPr>
              <w:spacing w:before="60" w:after="60" w:line="240" w:lineRule="auto"/>
              <w:rPr>
                <w:rFonts w:asciiTheme="majorBidi" w:hAnsiTheme="majorBidi" w:cstheme="majorBidi"/>
                <w:b/>
                <w:bCs/>
                <w:sz w:val="24"/>
                <w:szCs w:val="24"/>
              </w:rPr>
            </w:pPr>
            <w:r w:rsidRPr="008A6F48">
              <w:rPr>
                <w:rFonts w:asciiTheme="majorBidi" w:hAnsiTheme="majorBidi" w:cstheme="majorBidi"/>
                <w:b/>
                <w:bCs/>
                <w:sz w:val="24"/>
                <w:szCs w:val="24"/>
              </w:rPr>
              <w:t xml:space="preserve">Platelets </w:t>
            </w:r>
            <w:r w:rsidR="009760D9" w:rsidRPr="009760D9">
              <w:rPr>
                <w:rFonts w:asciiTheme="majorBidi" w:hAnsiTheme="majorBidi" w:cstheme="majorBidi"/>
                <w:b/>
                <w:bCs/>
                <w:sz w:val="24"/>
                <w:szCs w:val="24"/>
              </w:rPr>
              <w:t>(10</w:t>
            </w:r>
            <w:r w:rsidR="009760D9" w:rsidRPr="009760D9">
              <w:rPr>
                <w:rFonts w:asciiTheme="majorBidi" w:hAnsiTheme="majorBidi" w:cstheme="majorBidi"/>
                <w:b/>
                <w:bCs/>
                <w:sz w:val="24"/>
                <w:szCs w:val="24"/>
                <w:vertAlign w:val="superscript"/>
              </w:rPr>
              <w:t>3</w:t>
            </w:r>
            <w:r w:rsidR="009760D9" w:rsidRPr="009760D9">
              <w:rPr>
                <w:rFonts w:asciiTheme="majorBidi" w:hAnsiTheme="majorBidi" w:cstheme="majorBidi"/>
                <w:b/>
                <w:bCs/>
                <w:sz w:val="24"/>
                <w:szCs w:val="24"/>
              </w:rPr>
              <w:t>/ul)</w:t>
            </w:r>
          </w:p>
        </w:tc>
        <w:tc>
          <w:tcPr>
            <w:tcW w:w="1452" w:type="pct"/>
          </w:tcPr>
          <w:p w14:paraId="7F362B0D" w14:textId="5D044D24" w:rsidR="00C60592" w:rsidRPr="008A6F48" w:rsidRDefault="00C60592" w:rsidP="00AF5787">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245.99 ± 51.19</w:t>
            </w:r>
          </w:p>
        </w:tc>
        <w:tc>
          <w:tcPr>
            <w:tcW w:w="1530" w:type="pct"/>
          </w:tcPr>
          <w:p w14:paraId="5C1E8EB4" w14:textId="09105525" w:rsidR="00C60592" w:rsidRPr="008A6F48" w:rsidRDefault="00C60592" w:rsidP="00AF5787">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89.11 ± 12.87</w:t>
            </w:r>
          </w:p>
        </w:tc>
        <w:tc>
          <w:tcPr>
            <w:tcW w:w="583" w:type="pct"/>
          </w:tcPr>
          <w:p w14:paraId="1B556855" w14:textId="529F119B" w:rsidR="00C60592" w:rsidRPr="003407C3" w:rsidRDefault="00C60592" w:rsidP="00AF5787">
            <w:pPr>
              <w:spacing w:before="60" w:after="60" w:line="240" w:lineRule="auto"/>
              <w:jc w:val="center"/>
            </w:pPr>
            <w:r>
              <w:rPr>
                <w:rFonts w:asciiTheme="majorBidi" w:hAnsiTheme="majorBidi" w:cstheme="majorBidi"/>
                <w:b/>
                <w:bCs/>
                <w:sz w:val="24"/>
                <w:szCs w:val="24"/>
              </w:rPr>
              <w:t>&lt; 0.001</w:t>
            </w:r>
          </w:p>
        </w:tc>
      </w:tr>
      <w:tr w:rsidR="00C60592" w:rsidRPr="003407C3" w14:paraId="275B1D07" w14:textId="77777777" w:rsidTr="00AF5787">
        <w:trPr>
          <w:trHeight w:val="235"/>
        </w:trPr>
        <w:tc>
          <w:tcPr>
            <w:tcW w:w="1435" w:type="pct"/>
            <w:hideMark/>
          </w:tcPr>
          <w:p w14:paraId="594CC482" w14:textId="07F7BD65" w:rsidR="00C60592" w:rsidRPr="008A6F48" w:rsidRDefault="00C60592" w:rsidP="00AF5787">
            <w:pPr>
              <w:spacing w:before="60" w:after="60" w:line="240" w:lineRule="auto"/>
              <w:rPr>
                <w:rFonts w:asciiTheme="majorBidi" w:hAnsiTheme="majorBidi" w:cstheme="majorBidi"/>
                <w:b/>
                <w:bCs/>
                <w:sz w:val="24"/>
                <w:szCs w:val="24"/>
              </w:rPr>
            </w:pPr>
            <w:r w:rsidRPr="008A6F48">
              <w:rPr>
                <w:rFonts w:asciiTheme="majorBidi" w:hAnsiTheme="majorBidi" w:cstheme="majorBidi"/>
                <w:b/>
                <w:bCs/>
                <w:sz w:val="24"/>
                <w:szCs w:val="24"/>
              </w:rPr>
              <w:t>Creatinine</w:t>
            </w:r>
            <w:r w:rsidR="009760D9" w:rsidRPr="009760D9">
              <w:rPr>
                <w:rFonts w:asciiTheme="majorBidi" w:hAnsiTheme="majorBidi" w:cstheme="majorBidi"/>
                <w:b/>
                <w:bCs/>
                <w:sz w:val="24"/>
                <w:szCs w:val="24"/>
              </w:rPr>
              <w:t>(mmol/l)</w:t>
            </w:r>
          </w:p>
        </w:tc>
        <w:tc>
          <w:tcPr>
            <w:tcW w:w="1452" w:type="pct"/>
          </w:tcPr>
          <w:p w14:paraId="711B9F51" w14:textId="234292E1" w:rsidR="00C60592" w:rsidRPr="008A6F48" w:rsidRDefault="00C60592" w:rsidP="00AF5787">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99.35 ± 8.99</w:t>
            </w:r>
          </w:p>
        </w:tc>
        <w:tc>
          <w:tcPr>
            <w:tcW w:w="1530" w:type="pct"/>
          </w:tcPr>
          <w:p w14:paraId="4BBBDC70" w14:textId="4C09913D" w:rsidR="00C60592" w:rsidRPr="008A6F48" w:rsidRDefault="00C60592" w:rsidP="00AF5787">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101.45 ± 21.87</w:t>
            </w:r>
          </w:p>
        </w:tc>
        <w:tc>
          <w:tcPr>
            <w:tcW w:w="583" w:type="pct"/>
          </w:tcPr>
          <w:p w14:paraId="010491D4" w14:textId="2615A049" w:rsidR="00C60592" w:rsidRPr="003407C3" w:rsidRDefault="00C60592" w:rsidP="00AF5787">
            <w:pPr>
              <w:spacing w:before="60" w:after="60" w:line="240" w:lineRule="auto"/>
              <w:jc w:val="center"/>
            </w:pPr>
            <w:r>
              <w:rPr>
                <w:rFonts w:asciiTheme="majorBidi" w:hAnsiTheme="majorBidi" w:cstheme="majorBidi"/>
                <w:sz w:val="24"/>
                <w:szCs w:val="24"/>
              </w:rPr>
              <w:t>0.11</w:t>
            </w:r>
          </w:p>
        </w:tc>
      </w:tr>
      <w:tr w:rsidR="00C60592" w:rsidRPr="003407C3" w14:paraId="322BF64C" w14:textId="77777777" w:rsidTr="00AF5787">
        <w:trPr>
          <w:trHeight w:val="249"/>
        </w:trPr>
        <w:tc>
          <w:tcPr>
            <w:tcW w:w="1435" w:type="pct"/>
            <w:hideMark/>
          </w:tcPr>
          <w:p w14:paraId="6D75530F" w14:textId="48E41012" w:rsidR="00C60592" w:rsidRPr="008A6F48" w:rsidRDefault="00C60592" w:rsidP="00AF5787">
            <w:pPr>
              <w:spacing w:before="60" w:after="60" w:line="240" w:lineRule="auto"/>
              <w:rPr>
                <w:rFonts w:asciiTheme="majorBidi" w:hAnsiTheme="majorBidi" w:cstheme="majorBidi"/>
                <w:b/>
                <w:bCs/>
                <w:sz w:val="24"/>
                <w:szCs w:val="24"/>
              </w:rPr>
            </w:pPr>
            <w:proofErr w:type="gramStart"/>
            <w:r w:rsidRPr="008A6F48">
              <w:rPr>
                <w:rFonts w:asciiTheme="majorBidi" w:hAnsiTheme="majorBidi" w:cstheme="majorBidi"/>
                <w:b/>
                <w:bCs/>
                <w:sz w:val="24"/>
                <w:szCs w:val="24"/>
              </w:rPr>
              <w:t>CRP</w:t>
            </w:r>
            <w:r w:rsidR="009760D9" w:rsidRPr="009760D9">
              <w:rPr>
                <w:rFonts w:asciiTheme="majorBidi" w:hAnsiTheme="majorBidi" w:cstheme="majorBidi"/>
                <w:b/>
                <w:bCs/>
                <w:sz w:val="24"/>
                <w:szCs w:val="24"/>
              </w:rPr>
              <w:t>(</w:t>
            </w:r>
            <w:proofErr w:type="gramEnd"/>
            <w:r w:rsidR="009760D9" w:rsidRPr="009760D9">
              <w:rPr>
                <w:rFonts w:asciiTheme="majorBidi" w:hAnsiTheme="majorBidi" w:cstheme="majorBidi"/>
                <w:b/>
                <w:bCs/>
                <w:sz w:val="24"/>
                <w:szCs w:val="24"/>
              </w:rPr>
              <w:t>mg/dl)</w:t>
            </w:r>
          </w:p>
        </w:tc>
        <w:tc>
          <w:tcPr>
            <w:tcW w:w="1452" w:type="pct"/>
          </w:tcPr>
          <w:p w14:paraId="490050A9" w14:textId="2F4F52E7" w:rsidR="00C60592" w:rsidRPr="008A6F48" w:rsidRDefault="00C60592" w:rsidP="00AF5787">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6.78 ± 2.01</w:t>
            </w:r>
          </w:p>
        </w:tc>
        <w:tc>
          <w:tcPr>
            <w:tcW w:w="1530" w:type="pct"/>
          </w:tcPr>
          <w:p w14:paraId="2C233C56" w14:textId="112C3F96" w:rsidR="00C60592" w:rsidRPr="008A6F48" w:rsidRDefault="00C60592" w:rsidP="00AF5787">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7.88 ± 1.09</w:t>
            </w:r>
          </w:p>
        </w:tc>
        <w:tc>
          <w:tcPr>
            <w:tcW w:w="583" w:type="pct"/>
          </w:tcPr>
          <w:p w14:paraId="5ECE7A05" w14:textId="699024E6" w:rsidR="00C60592" w:rsidRPr="003407C3" w:rsidRDefault="00C60592" w:rsidP="00AF5787">
            <w:pPr>
              <w:spacing w:before="60" w:after="60" w:line="240" w:lineRule="auto"/>
              <w:jc w:val="center"/>
              <w:rPr>
                <w:lang w:bidi="ar-EG"/>
              </w:rPr>
            </w:pPr>
            <w:r>
              <w:rPr>
                <w:rFonts w:asciiTheme="majorBidi" w:hAnsiTheme="majorBidi" w:cstheme="majorBidi"/>
                <w:sz w:val="24"/>
                <w:szCs w:val="24"/>
              </w:rPr>
              <w:t>0.25</w:t>
            </w:r>
          </w:p>
        </w:tc>
      </w:tr>
    </w:tbl>
    <w:p w14:paraId="18D07A6D" w14:textId="77777777" w:rsidR="00F22F9F" w:rsidRPr="00AF5787" w:rsidRDefault="00F22F9F" w:rsidP="00AF5787">
      <w:pPr>
        <w:spacing w:before="120" w:after="0" w:line="360" w:lineRule="auto"/>
        <w:jc w:val="both"/>
        <w:rPr>
          <w:rFonts w:ascii="Calibri" w:eastAsia="Calibri" w:hAnsi="Calibri" w:cs="Arial"/>
          <w:sz w:val="2"/>
          <w:szCs w:val="2"/>
        </w:rPr>
      </w:pPr>
    </w:p>
    <w:p w14:paraId="581A3D9E" w14:textId="683D2840" w:rsidR="008F27AB" w:rsidRDefault="008F27AB" w:rsidP="00AF5787">
      <w:pPr>
        <w:spacing w:before="120" w:after="0" w:line="360" w:lineRule="auto"/>
        <w:ind w:firstLine="720"/>
        <w:jc w:val="both"/>
        <w:rPr>
          <w:rFonts w:asciiTheme="majorBidi" w:hAnsiTheme="majorBidi" w:cstheme="majorBidi"/>
          <w:color w:val="242021"/>
          <w:sz w:val="24"/>
          <w:szCs w:val="24"/>
        </w:rPr>
      </w:pPr>
      <w:r w:rsidRPr="00957406">
        <w:rPr>
          <w:rFonts w:asciiTheme="majorBidi" w:hAnsiTheme="majorBidi" w:cstheme="majorBidi"/>
          <w:color w:val="FF0000"/>
          <w:sz w:val="24"/>
          <w:szCs w:val="24"/>
        </w:rPr>
        <w:t xml:space="preserve">CRP: C reactive </w:t>
      </w:r>
      <w:proofErr w:type="gramStart"/>
      <w:r w:rsidRPr="00957406">
        <w:rPr>
          <w:rFonts w:asciiTheme="majorBidi" w:hAnsiTheme="majorBidi" w:cstheme="majorBidi"/>
          <w:color w:val="FF0000"/>
          <w:sz w:val="24"/>
          <w:szCs w:val="24"/>
        </w:rPr>
        <w:t>protein</w:t>
      </w:r>
      <w:r w:rsidR="00957406" w:rsidRPr="00957406">
        <w:rPr>
          <w:rFonts w:asciiTheme="majorBidi" w:hAnsiTheme="majorBidi" w:cstheme="majorBidi"/>
          <w:color w:val="FF0000"/>
          <w:sz w:val="20"/>
          <w:szCs w:val="20"/>
          <w:lang w:bidi="ar-EG"/>
        </w:rPr>
        <w:t>.(</w:t>
      </w:r>
      <w:proofErr w:type="gramEnd"/>
      <w:r w:rsidR="00957406" w:rsidRPr="00957406">
        <w:rPr>
          <w:rFonts w:asciiTheme="majorBidi" w:hAnsiTheme="majorBidi" w:cstheme="majorBidi"/>
          <w:color w:val="FF0000"/>
          <w:sz w:val="20"/>
          <w:szCs w:val="20"/>
          <w:lang w:bidi="ar-EG"/>
        </w:rPr>
        <w:t xml:space="preserve"> </w:t>
      </w:r>
      <w:r w:rsidR="00957406">
        <w:rPr>
          <w:rFonts w:asciiTheme="majorBidi" w:hAnsiTheme="majorBidi" w:cstheme="majorBidi"/>
          <w:color w:val="FF0000"/>
          <w:sz w:val="20"/>
          <w:szCs w:val="20"/>
          <w:lang w:bidi="ar-EG"/>
        </w:rPr>
        <w:t>revised and done).</w:t>
      </w:r>
    </w:p>
    <w:p w14:paraId="68EC576C" w14:textId="692F569A" w:rsidR="00A753B6" w:rsidRDefault="00A753B6" w:rsidP="00AF5787">
      <w:pPr>
        <w:spacing w:before="120" w:after="0" w:line="360" w:lineRule="auto"/>
        <w:ind w:firstLine="720"/>
        <w:jc w:val="both"/>
        <w:rPr>
          <w:rFonts w:asciiTheme="majorBidi" w:hAnsiTheme="majorBidi" w:cstheme="majorBidi"/>
          <w:color w:val="242021"/>
          <w:sz w:val="24"/>
          <w:szCs w:val="24"/>
        </w:rPr>
      </w:pPr>
      <w:r w:rsidRPr="00A753B6">
        <w:rPr>
          <w:rFonts w:asciiTheme="majorBidi" w:hAnsiTheme="majorBidi" w:cstheme="majorBidi"/>
          <w:color w:val="242021"/>
          <w:sz w:val="24"/>
          <w:szCs w:val="24"/>
        </w:rPr>
        <w:t xml:space="preserve">In the current </w:t>
      </w:r>
      <w:r w:rsidR="00900B90">
        <w:rPr>
          <w:rFonts w:asciiTheme="majorBidi" w:hAnsiTheme="majorBidi" w:cstheme="majorBidi"/>
          <w:color w:val="242021"/>
          <w:sz w:val="24"/>
          <w:szCs w:val="24"/>
        </w:rPr>
        <w:t>research</w:t>
      </w:r>
      <w:r w:rsidRPr="00A753B6">
        <w:rPr>
          <w:rFonts w:asciiTheme="majorBidi" w:hAnsiTheme="majorBidi" w:cstheme="majorBidi"/>
          <w:color w:val="242021"/>
          <w:sz w:val="24"/>
          <w:szCs w:val="24"/>
        </w:rPr>
        <w:t xml:space="preserve">, we found that among those patients without </w:t>
      </w:r>
      <w:r>
        <w:rPr>
          <w:rFonts w:asciiTheme="majorBidi" w:hAnsiTheme="majorBidi" w:cstheme="majorBidi"/>
          <w:color w:val="242021"/>
          <w:sz w:val="24"/>
          <w:szCs w:val="24"/>
        </w:rPr>
        <w:t>CLD</w:t>
      </w:r>
      <w:r w:rsidRPr="00A753B6">
        <w:rPr>
          <w:rFonts w:asciiTheme="majorBidi" w:hAnsiTheme="majorBidi" w:cstheme="majorBidi"/>
          <w:color w:val="242021"/>
          <w:sz w:val="24"/>
          <w:szCs w:val="24"/>
        </w:rPr>
        <w:t>, 6 (20%) patients developed raised liver transaminases</w:t>
      </w:r>
      <w:r>
        <w:rPr>
          <w:rFonts w:asciiTheme="majorBidi" w:hAnsiTheme="majorBidi" w:cstheme="majorBidi"/>
          <w:color w:val="242021"/>
          <w:sz w:val="24"/>
          <w:szCs w:val="24"/>
        </w:rPr>
        <w:t xml:space="preserve"> </w:t>
      </w:r>
      <w:r w:rsidRPr="00A753B6">
        <w:rPr>
          <w:rFonts w:asciiTheme="majorBidi" w:hAnsiTheme="majorBidi" w:cstheme="majorBidi"/>
          <w:color w:val="242021"/>
          <w:sz w:val="24"/>
          <w:szCs w:val="24"/>
        </w:rPr>
        <w:t>and another 3 (10%) patients developed jaundice</w:t>
      </w:r>
      <w:r>
        <w:rPr>
          <w:rFonts w:asciiTheme="majorBidi" w:hAnsiTheme="majorBidi" w:cstheme="majorBidi"/>
          <w:color w:val="242021"/>
          <w:sz w:val="24"/>
          <w:szCs w:val="24"/>
        </w:rPr>
        <w:t xml:space="preserve"> during COVID 19 infection</w:t>
      </w:r>
      <w:r w:rsidRPr="00A753B6">
        <w:rPr>
          <w:rFonts w:asciiTheme="majorBidi" w:hAnsiTheme="majorBidi" w:cstheme="majorBidi"/>
          <w:color w:val="242021"/>
          <w:sz w:val="24"/>
          <w:szCs w:val="24"/>
        </w:rPr>
        <w:t>.</w:t>
      </w:r>
      <w:r>
        <w:rPr>
          <w:rFonts w:asciiTheme="majorBidi" w:hAnsiTheme="majorBidi" w:cstheme="majorBidi"/>
          <w:color w:val="242021"/>
          <w:sz w:val="24"/>
          <w:szCs w:val="24"/>
        </w:rPr>
        <w:t xml:space="preserve"> At follow-up after recovery, a</w:t>
      </w:r>
      <w:r w:rsidRPr="00A753B6">
        <w:rPr>
          <w:rFonts w:asciiTheme="majorBidi" w:hAnsiTheme="majorBidi" w:cstheme="majorBidi"/>
          <w:color w:val="242021"/>
          <w:sz w:val="24"/>
          <w:szCs w:val="24"/>
        </w:rPr>
        <w:t>ll those 9 (30%) patients were completely improved without any hepatic sequel.</w:t>
      </w:r>
    </w:p>
    <w:p w14:paraId="22C5FEE0" w14:textId="77777777" w:rsidR="00AF5787" w:rsidRDefault="00AF5787" w:rsidP="00AF5787">
      <w:pPr>
        <w:spacing w:before="120" w:after="0" w:line="360" w:lineRule="auto"/>
        <w:jc w:val="both"/>
        <w:rPr>
          <w:rFonts w:asciiTheme="majorBidi" w:eastAsia="Calibri" w:hAnsiTheme="majorBidi" w:cstheme="majorBidi"/>
          <w:b/>
          <w:bCs/>
          <w:sz w:val="24"/>
          <w:szCs w:val="24"/>
          <w:lang w:bidi="ar-EG"/>
        </w:rPr>
      </w:pPr>
    </w:p>
    <w:p w14:paraId="459007F5" w14:textId="77777777" w:rsidR="004130E1" w:rsidRDefault="004130E1" w:rsidP="00AF5787">
      <w:pPr>
        <w:spacing w:before="120" w:after="0" w:line="360" w:lineRule="auto"/>
        <w:jc w:val="both"/>
        <w:rPr>
          <w:rFonts w:asciiTheme="majorBidi" w:eastAsia="Calibri" w:hAnsiTheme="majorBidi" w:cstheme="majorBidi"/>
          <w:b/>
          <w:bCs/>
          <w:sz w:val="24"/>
          <w:szCs w:val="24"/>
          <w:rtl/>
          <w:lang w:bidi="ar-EG"/>
        </w:rPr>
      </w:pPr>
      <w:r w:rsidRPr="004130E1">
        <w:rPr>
          <w:rFonts w:asciiTheme="majorBidi" w:eastAsia="Calibri" w:hAnsiTheme="majorBidi" w:cstheme="majorBidi"/>
          <w:b/>
          <w:bCs/>
          <w:sz w:val="24"/>
          <w:szCs w:val="24"/>
          <w:lang w:bidi="ar-EG"/>
        </w:rPr>
        <w:t xml:space="preserve">Discussion </w:t>
      </w:r>
    </w:p>
    <w:p w14:paraId="035084D6" w14:textId="5A3E05BA" w:rsidR="004130E1" w:rsidRPr="00BA1AA3" w:rsidRDefault="004130E1" w:rsidP="00AF5787">
      <w:pPr>
        <w:spacing w:before="120" w:after="0" w:line="360" w:lineRule="auto"/>
        <w:ind w:firstLine="720"/>
        <w:jc w:val="both"/>
        <w:rPr>
          <w:rFonts w:asciiTheme="majorBidi" w:hAnsiTheme="majorBidi" w:cstheme="majorBidi"/>
          <w:sz w:val="24"/>
          <w:szCs w:val="24"/>
          <w:lang w:bidi="ar-EG"/>
        </w:rPr>
      </w:pPr>
      <w:r w:rsidRPr="00BA1AA3">
        <w:rPr>
          <w:rFonts w:asciiTheme="majorBidi" w:hAnsiTheme="majorBidi" w:cstheme="majorBidi"/>
          <w:sz w:val="24"/>
          <w:szCs w:val="24"/>
          <w:lang w:bidi="ar-EG"/>
        </w:rPr>
        <w:t>In this study</w:t>
      </w:r>
      <w:r w:rsidR="009F41D6" w:rsidRPr="00BA1AA3">
        <w:rPr>
          <w:rFonts w:asciiTheme="majorBidi" w:hAnsiTheme="majorBidi" w:cstheme="majorBidi"/>
          <w:sz w:val="24"/>
          <w:szCs w:val="24"/>
          <w:lang w:bidi="ar-EG"/>
        </w:rPr>
        <w:t>,</w:t>
      </w:r>
      <w:r w:rsidRPr="00BA1AA3">
        <w:rPr>
          <w:rFonts w:asciiTheme="majorBidi" w:hAnsiTheme="majorBidi" w:cstheme="majorBidi"/>
          <w:sz w:val="24"/>
          <w:szCs w:val="24"/>
          <w:lang w:bidi="ar-EG"/>
        </w:rPr>
        <w:t xml:space="preserve"> we</w:t>
      </w:r>
      <w:r w:rsidRPr="00BA1AA3">
        <w:rPr>
          <w:rFonts w:asciiTheme="majorBidi" w:hAnsiTheme="majorBidi" w:cstheme="majorBidi"/>
          <w:sz w:val="24"/>
          <w:szCs w:val="24"/>
        </w:rPr>
        <w:t xml:space="preserve"> aimed to assess the impact of COVID 19 on CLD patients and to evaluate </w:t>
      </w:r>
      <w:r w:rsidR="009F41D6" w:rsidRPr="00BA1AA3">
        <w:rPr>
          <w:rFonts w:asciiTheme="majorBidi" w:hAnsiTheme="majorBidi" w:cstheme="majorBidi"/>
          <w:sz w:val="24"/>
          <w:szCs w:val="24"/>
        </w:rPr>
        <w:t xml:space="preserve">the </w:t>
      </w:r>
      <w:r w:rsidRPr="00AF5787">
        <w:rPr>
          <w:rFonts w:asciiTheme="majorBidi" w:hAnsiTheme="majorBidi" w:cstheme="majorBidi"/>
          <w:color w:val="242021"/>
          <w:sz w:val="24"/>
          <w:szCs w:val="24"/>
        </w:rPr>
        <w:t>hepatic</w:t>
      </w:r>
      <w:r w:rsidRPr="00BA1AA3">
        <w:rPr>
          <w:rFonts w:asciiTheme="majorBidi" w:hAnsiTheme="majorBidi" w:cstheme="majorBidi"/>
          <w:sz w:val="24"/>
          <w:szCs w:val="24"/>
        </w:rPr>
        <w:t xml:space="preserve"> manifestations in post-COVID19 patients. </w:t>
      </w:r>
      <w:r w:rsidRPr="00BA1AA3">
        <w:rPr>
          <w:rFonts w:asciiTheme="majorBidi" w:hAnsiTheme="majorBidi" w:cstheme="majorBidi"/>
          <w:sz w:val="24"/>
          <w:szCs w:val="24"/>
          <w:lang w:bidi="ar-EG"/>
        </w:rPr>
        <w:t xml:space="preserve">We found that patients with CLD were older and </w:t>
      </w:r>
      <w:r w:rsidRPr="00BA1AA3">
        <w:rPr>
          <w:rFonts w:asciiTheme="majorBidi" w:hAnsiTheme="majorBidi" w:cstheme="majorBidi"/>
          <w:sz w:val="24"/>
          <w:szCs w:val="24"/>
        </w:rPr>
        <w:t xml:space="preserve">had significant higher frequency of severe infection, ICU admissions, non-invasive ventilation, mechanical ventilation and prolonged </w:t>
      </w:r>
      <w:r w:rsidRPr="00AF5787">
        <w:rPr>
          <w:rFonts w:asciiTheme="majorBidi" w:hAnsiTheme="majorBidi" w:cstheme="majorBidi"/>
          <w:color w:val="242021"/>
          <w:sz w:val="24"/>
          <w:szCs w:val="24"/>
        </w:rPr>
        <w:t>ICU</w:t>
      </w:r>
      <w:r w:rsidRPr="00BA1AA3">
        <w:rPr>
          <w:rFonts w:asciiTheme="majorBidi" w:hAnsiTheme="majorBidi" w:cstheme="majorBidi"/>
          <w:sz w:val="24"/>
          <w:szCs w:val="24"/>
        </w:rPr>
        <w:t xml:space="preserve"> stay </w:t>
      </w:r>
      <w:r w:rsidRPr="00BA1AA3">
        <w:rPr>
          <w:rFonts w:asciiTheme="majorBidi" w:hAnsiTheme="majorBidi" w:cstheme="majorBidi"/>
          <w:sz w:val="24"/>
          <w:szCs w:val="24"/>
          <w:lang w:bidi="ar-EG"/>
        </w:rPr>
        <w:t>that non-CLD patients.</w:t>
      </w:r>
    </w:p>
    <w:p w14:paraId="259EBDE7" w14:textId="64432BF2" w:rsidR="004130E1" w:rsidRPr="00BA1AA3" w:rsidRDefault="00900B90" w:rsidP="00C1118E">
      <w:pPr>
        <w:spacing w:before="120" w:after="0" w:line="360" w:lineRule="auto"/>
        <w:ind w:firstLine="720"/>
        <w:jc w:val="both"/>
        <w:rPr>
          <w:rFonts w:asciiTheme="majorBidi" w:hAnsiTheme="majorBidi" w:cstheme="majorBidi"/>
          <w:sz w:val="24"/>
          <w:szCs w:val="24"/>
          <w:lang w:bidi="ar-EG"/>
        </w:rPr>
      </w:pPr>
      <w:r w:rsidRPr="00900B90">
        <w:rPr>
          <w:rFonts w:asciiTheme="majorBidi" w:hAnsiTheme="majorBidi" w:cstheme="majorBidi"/>
          <w:sz w:val="24"/>
          <w:szCs w:val="24"/>
          <w:lang w:bidi="ar-EG"/>
        </w:rPr>
        <w:t>Consistent with the findings of the present research</w:t>
      </w:r>
      <w:r w:rsidR="004130E1" w:rsidRPr="00BA1AA3">
        <w:rPr>
          <w:rFonts w:asciiTheme="majorBidi" w:hAnsiTheme="majorBidi" w:cstheme="majorBidi"/>
          <w:sz w:val="24"/>
          <w:szCs w:val="24"/>
          <w:lang w:bidi="ar-EG"/>
        </w:rPr>
        <w:t xml:space="preserve">, </w:t>
      </w:r>
      <w:proofErr w:type="spellStart"/>
      <w:r w:rsidR="004130E1" w:rsidRPr="00BA1AA3">
        <w:rPr>
          <w:rFonts w:asciiTheme="majorBidi" w:hAnsiTheme="majorBidi" w:cstheme="majorBidi"/>
          <w:sz w:val="24"/>
          <w:szCs w:val="24"/>
          <w:lang w:bidi="ar-EG"/>
        </w:rPr>
        <w:t>Oyelade</w:t>
      </w:r>
      <w:proofErr w:type="spellEnd"/>
      <w:r w:rsidR="004130E1" w:rsidRPr="00BA1AA3">
        <w:rPr>
          <w:rFonts w:asciiTheme="majorBidi" w:hAnsiTheme="majorBidi" w:cstheme="majorBidi"/>
          <w:sz w:val="24"/>
          <w:szCs w:val="24"/>
          <w:lang w:bidi="ar-EG"/>
        </w:rPr>
        <w:t xml:space="preserve"> et al.,</w:t>
      </w:r>
      <w:r w:rsidR="0003636C">
        <w:rPr>
          <w:rFonts w:asciiTheme="majorBidi" w:hAnsiTheme="majorBidi" w:cstheme="majorBidi"/>
          <w:sz w:val="24"/>
          <w:szCs w:val="24"/>
          <w:lang w:bidi="ar-EG"/>
        </w:rPr>
        <w:t xml:space="preserve"> </w:t>
      </w:r>
      <w:r w:rsidR="0003636C">
        <w:rPr>
          <w:rFonts w:asciiTheme="majorBidi" w:hAnsiTheme="majorBidi" w:cstheme="majorBidi"/>
          <w:sz w:val="24"/>
          <w:szCs w:val="24"/>
          <w:lang w:bidi="ar-EG"/>
        </w:rPr>
        <w:fldChar w:fldCharType="begin"/>
      </w:r>
      <w:r w:rsidR="00C1118E">
        <w:rPr>
          <w:rFonts w:asciiTheme="majorBidi" w:hAnsiTheme="majorBidi" w:cstheme="majorBidi"/>
          <w:sz w:val="24"/>
          <w:szCs w:val="24"/>
          <w:lang w:bidi="ar-EG"/>
        </w:rPr>
        <w:instrText xml:space="preserve"> ADDIN EN.CITE &lt;EndNote&gt;&lt;Cite&gt;&lt;Author&gt;Oyelade&lt;/Author&gt;&lt;Year&gt;2020&lt;/Year&gt;&lt;RecNum&gt;8&lt;/RecNum&gt;&lt;DisplayText&gt;&lt;style face="bold"&gt;[11]&lt;/style&gt;&lt;/DisplayText&gt;&lt;record&gt;&lt;rec-number&gt;8&lt;/rec-number&gt;&lt;foreign-keys&gt;&lt;key app="EN" db-id="wtvrtsw5w0s99aeat5w5zsphtatatavew2zt" timestamp="1709644894"&gt;8&lt;/key&gt;&lt;/foreign-keys&gt;&lt;ref-type name="Journal Article"&gt;17&lt;/ref-type&gt;&lt;contributors&gt;&lt;authors&gt;&lt;author&gt;Oyelade, Tope&lt;/author&gt;&lt;author&gt;Alqahtani, Jaber&lt;/author&gt;&lt;author&gt;Canciani, Gabriele&lt;/author&gt;&lt;/authors&gt;&lt;/contributors&gt;&lt;titles&gt;&lt;title&gt;Prognosis of COVID-19 in patients with liver and kidney diseases: an early systematic review and meta-analysis&lt;/title&gt;&lt;secondary-title&gt;Tropical medicine and infectious disease&lt;/secondary-title&gt;&lt;/titles&gt;&lt;periodical&gt;&lt;full-title&gt;Tropical medicine and infectious disease&lt;/full-title&gt;&lt;/periodical&gt;&lt;pages&gt;80&lt;/pages&gt;&lt;volume&gt;5&lt;/volume&gt;&lt;number&gt;2&lt;/number&gt;&lt;dates&gt;&lt;year&gt;2020&lt;/year&gt;&lt;/dates&gt;&lt;isbn&gt;2414-6366&lt;/isbn&gt;&lt;urls&gt;&lt;/urls&gt;&lt;/record&gt;&lt;/Cite&gt;&lt;/EndNote&gt;</w:instrText>
      </w:r>
      <w:r w:rsidR="0003636C">
        <w:rPr>
          <w:rFonts w:asciiTheme="majorBidi" w:hAnsiTheme="majorBidi" w:cstheme="majorBidi"/>
          <w:sz w:val="24"/>
          <w:szCs w:val="24"/>
          <w:lang w:bidi="ar-EG"/>
        </w:rPr>
        <w:fldChar w:fldCharType="separate"/>
      </w:r>
      <w:r w:rsidR="00C1118E" w:rsidRPr="00C1118E">
        <w:rPr>
          <w:rFonts w:asciiTheme="majorBidi" w:hAnsiTheme="majorBidi" w:cstheme="majorBidi"/>
          <w:b/>
          <w:noProof/>
          <w:sz w:val="24"/>
          <w:szCs w:val="24"/>
          <w:lang w:bidi="ar-EG"/>
        </w:rPr>
        <w:t>[11]</w:t>
      </w:r>
      <w:r w:rsidR="0003636C">
        <w:rPr>
          <w:rFonts w:asciiTheme="majorBidi" w:hAnsiTheme="majorBidi" w:cstheme="majorBidi"/>
          <w:sz w:val="24"/>
          <w:szCs w:val="24"/>
          <w:lang w:bidi="ar-EG"/>
        </w:rPr>
        <w:fldChar w:fldCharType="end"/>
      </w:r>
      <w:r w:rsidR="004130E1" w:rsidRPr="00BA1AA3">
        <w:rPr>
          <w:rFonts w:asciiTheme="majorBidi" w:hAnsiTheme="majorBidi" w:cstheme="majorBidi"/>
          <w:i/>
          <w:iCs/>
          <w:sz w:val="24"/>
          <w:szCs w:val="24"/>
          <w:lang w:bidi="ar-EG"/>
        </w:rPr>
        <w:t xml:space="preserve"> </w:t>
      </w:r>
      <w:r w:rsidR="004130E1" w:rsidRPr="00BA1AA3">
        <w:rPr>
          <w:rFonts w:asciiTheme="majorBidi" w:hAnsiTheme="majorBidi" w:cstheme="majorBidi"/>
          <w:sz w:val="24"/>
          <w:szCs w:val="24"/>
          <w:lang w:bidi="ar-EG"/>
        </w:rPr>
        <w:t>reveal</w:t>
      </w:r>
      <w:r w:rsidR="009F41D6" w:rsidRPr="00BA1AA3">
        <w:rPr>
          <w:rFonts w:asciiTheme="majorBidi" w:hAnsiTheme="majorBidi" w:cstheme="majorBidi"/>
          <w:sz w:val="24"/>
          <w:szCs w:val="24"/>
          <w:lang w:bidi="ar-EG"/>
        </w:rPr>
        <w:t>ed</w:t>
      </w:r>
      <w:r w:rsidR="004130E1" w:rsidRPr="00BA1AA3">
        <w:rPr>
          <w:rFonts w:asciiTheme="majorBidi" w:hAnsiTheme="majorBidi" w:cstheme="majorBidi"/>
          <w:sz w:val="24"/>
          <w:szCs w:val="24"/>
          <w:lang w:bidi="ar-EG"/>
        </w:rPr>
        <w:t xml:space="preserve"> that </w:t>
      </w:r>
      <w:r w:rsidRPr="00900B90">
        <w:rPr>
          <w:rFonts w:asciiTheme="majorBidi" w:hAnsiTheme="majorBidi" w:cstheme="majorBidi"/>
          <w:sz w:val="24"/>
          <w:szCs w:val="24"/>
          <w:lang w:bidi="ar-EG"/>
        </w:rPr>
        <w:t>Patients having a history of hepatic illness were more likely to die (17.65%) and have a severe COVID-19 infection (57.33%)</w:t>
      </w:r>
      <w:r w:rsidR="00C1118E">
        <w:rPr>
          <w:rFonts w:asciiTheme="majorBidi" w:hAnsiTheme="majorBidi" w:cstheme="majorBidi"/>
          <w:sz w:val="24"/>
          <w:szCs w:val="24"/>
          <w:lang w:bidi="ar-EG"/>
        </w:rPr>
        <w:fldChar w:fldCharType="begin"/>
      </w:r>
      <w:r w:rsidR="00C1118E">
        <w:rPr>
          <w:rFonts w:asciiTheme="majorBidi" w:hAnsiTheme="majorBidi" w:cstheme="majorBidi"/>
          <w:sz w:val="24"/>
          <w:szCs w:val="24"/>
          <w:lang w:bidi="ar-EG"/>
        </w:rPr>
        <w:instrText xml:space="preserve"> ADDIN EN.CITE &lt;EndNote&gt;&lt;Cite&gt;&lt;Author&gt;Oyelade&lt;/Author&gt;&lt;Year&gt;2020&lt;/Year&gt;&lt;RecNum&gt;8&lt;/RecNum&gt;&lt;DisplayText&gt;&lt;style face="bold"&gt;[11]&lt;/style&gt;&lt;/DisplayText&gt;&lt;record&gt;&lt;rec-number&gt;8&lt;/rec-number&gt;&lt;foreign-keys&gt;&lt;key app="EN" db-id="wtvrtsw5w0s99aeat5w5zsphtatatavew2zt" timestamp="1709644894"&gt;8&lt;/key&gt;&lt;/foreign-keys&gt;&lt;ref-type name="Journal Article"&gt;17&lt;/ref-type&gt;&lt;contributors&gt;&lt;authors&gt;&lt;author&gt;Oyelade, Tope&lt;/author&gt;&lt;author&gt;Alqahtani, Jaber&lt;/author&gt;&lt;author&gt;Canciani, Gabriele&lt;/author&gt;&lt;/authors&gt;&lt;/contributors&gt;&lt;titles&gt;&lt;title&gt;Prognosis of COVID-19 in patients with liver and kidney diseases: an early systematic review and meta-analysis&lt;/title&gt;&lt;secondary-title&gt;Tropical medicine and infectious disease&lt;/secondary-title&gt;&lt;/titles&gt;&lt;periodical&gt;&lt;full-title&gt;Tropical medicine and infectious disease&lt;/full-title&gt;&lt;/periodical&gt;&lt;pages&gt;80&lt;/pages&gt;&lt;volume&gt;5&lt;/volume&gt;&lt;number&gt;2&lt;/number&gt;&lt;dates&gt;&lt;year&gt;2020&lt;/year&gt;&lt;/dates&gt;&lt;isbn&gt;2414-6366&lt;/isbn&gt;&lt;urls&gt;&lt;/urls&gt;&lt;/record&gt;&lt;/Cite&gt;&lt;/EndNote&gt;</w:instrText>
      </w:r>
      <w:r w:rsidR="00C1118E">
        <w:rPr>
          <w:rFonts w:asciiTheme="majorBidi" w:hAnsiTheme="majorBidi" w:cstheme="majorBidi"/>
          <w:sz w:val="24"/>
          <w:szCs w:val="24"/>
          <w:lang w:bidi="ar-EG"/>
        </w:rPr>
        <w:fldChar w:fldCharType="separate"/>
      </w:r>
      <w:r w:rsidR="00C1118E" w:rsidRPr="00C1118E">
        <w:rPr>
          <w:rFonts w:asciiTheme="majorBidi" w:hAnsiTheme="majorBidi" w:cstheme="majorBidi"/>
          <w:b/>
          <w:noProof/>
          <w:sz w:val="24"/>
          <w:szCs w:val="24"/>
          <w:lang w:bidi="ar-EG"/>
        </w:rPr>
        <w:t>[11]</w:t>
      </w:r>
      <w:r w:rsidR="00C1118E">
        <w:rPr>
          <w:rFonts w:asciiTheme="majorBidi" w:hAnsiTheme="majorBidi" w:cstheme="majorBidi"/>
          <w:sz w:val="24"/>
          <w:szCs w:val="24"/>
          <w:lang w:bidi="ar-EG"/>
        </w:rPr>
        <w:fldChar w:fldCharType="end"/>
      </w:r>
      <w:r w:rsidRPr="00900B90">
        <w:rPr>
          <w:rFonts w:asciiTheme="majorBidi" w:hAnsiTheme="majorBidi" w:cstheme="majorBidi"/>
          <w:sz w:val="24"/>
          <w:szCs w:val="24"/>
          <w:lang w:bidi="ar-EG"/>
        </w:rPr>
        <w:t>.</w:t>
      </w:r>
      <w:r w:rsidRPr="00900B90">
        <w:rPr>
          <w:rFonts w:ascii="Times New Roman" w:eastAsia="Times New Roman" w:hAnsi="Times New Roman" w:cs="Times New Roman"/>
          <w:sz w:val="24"/>
          <w:szCs w:val="24"/>
        </w:rPr>
        <w:t xml:space="preserve"> </w:t>
      </w:r>
      <w:r w:rsidRPr="00900B90">
        <w:rPr>
          <w:rFonts w:asciiTheme="majorBidi" w:hAnsiTheme="majorBidi" w:cstheme="majorBidi"/>
          <w:sz w:val="24"/>
          <w:szCs w:val="24"/>
          <w:lang w:bidi="ar-EG"/>
        </w:rPr>
        <w:t xml:space="preserve">This may be connected to those individuals' low lymphocyte and platelet counts. </w:t>
      </w:r>
      <w:r w:rsidR="009F41D6" w:rsidRPr="00BA1AA3">
        <w:rPr>
          <w:rFonts w:asciiTheme="majorBidi" w:hAnsiTheme="majorBidi" w:cstheme="majorBidi"/>
          <w:sz w:val="24"/>
          <w:szCs w:val="24"/>
          <w:lang w:bidi="ar-EG"/>
        </w:rPr>
        <w:t>(14)</w:t>
      </w:r>
      <w:r w:rsidR="004130E1" w:rsidRPr="00BA1AA3">
        <w:rPr>
          <w:rFonts w:asciiTheme="majorBidi" w:hAnsiTheme="majorBidi" w:cstheme="majorBidi"/>
          <w:sz w:val="24"/>
          <w:szCs w:val="24"/>
          <w:lang w:bidi="ar-EG"/>
        </w:rPr>
        <w:t xml:space="preserve">. Moreover, </w:t>
      </w:r>
      <w:r w:rsidR="004130E1" w:rsidRPr="00BA1AA3">
        <w:rPr>
          <w:rFonts w:asciiTheme="majorBidi" w:hAnsiTheme="majorBidi" w:cstheme="majorBidi"/>
          <w:sz w:val="24"/>
          <w:szCs w:val="24"/>
        </w:rPr>
        <w:t xml:space="preserve">Cai et al., </w:t>
      </w:r>
      <w:r w:rsidR="004130E1" w:rsidRPr="00BA1AA3">
        <w:rPr>
          <w:rFonts w:asciiTheme="majorBidi" w:hAnsiTheme="majorBidi" w:cstheme="majorBidi"/>
          <w:sz w:val="24"/>
          <w:szCs w:val="24"/>
        </w:rPr>
        <w:fldChar w:fldCharType="begin"/>
      </w:r>
      <w:r w:rsidR="00C1118E">
        <w:rPr>
          <w:rFonts w:asciiTheme="majorBidi" w:hAnsiTheme="majorBidi" w:cstheme="majorBidi"/>
          <w:sz w:val="24"/>
          <w:szCs w:val="24"/>
        </w:rPr>
        <w:instrText xml:space="preserve"> ADDIN EN.CITE &lt;EndNote&gt;&lt;Cite&gt;&lt;Author&gt;Cai&lt;/Author&gt;&lt;Year&gt;2020&lt;/Year&gt;&lt;RecNum&gt;9&lt;/RecNum&gt;&lt;DisplayText&gt;&lt;style face="bold"&gt;[12]&lt;/style&gt;&lt;/DisplayText&gt;&lt;record&gt;&lt;rec-number&gt;9&lt;/rec-number&gt;&lt;foreign-keys&gt;&lt;key app="EN" db-id="wtvrtsw5w0s99aeat5w5zsphtatatavew2zt" timestamp="1709644894"&gt;9&lt;/key&gt;&lt;/foreign-keys&gt;&lt;ref-type name="Journal Article"&gt;17&lt;/ref-type&gt;&lt;contributors&gt;&lt;authors&gt;&lt;author&gt;Cai, Qingxian&lt;/author&gt;&lt;author&gt;Huang, Deliang&lt;/author&gt;&lt;author&gt;Yu, Hong&lt;/author&gt;&lt;author&gt;Zhu, Zhibin&lt;/author&gt;&lt;author&gt;Xia, Zhang&lt;/author&gt;&lt;author&gt;Su, Yinan&lt;/author&gt;&lt;author&gt;Li, Zhiwei&lt;/author&gt;&lt;author&gt;Zhou, Guangde&lt;/author&gt;&lt;author&gt;Gou, Jizhou&lt;/author&gt;&lt;author&gt;Qu, Jiuxin&lt;/author&gt;&lt;/authors&gt;&lt;/contributors&gt;&lt;titles&gt;&lt;title&gt;COVID-19: Abnormal liver function tests&lt;/title&gt;&lt;secondary-title&gt;Journal of hepatology&lt;/secondary-title&gt;&lt;/titles&gt;&lt;periodical&gt;&lt;full-title&gt;Journal of hepatology&lt;/full-title&gt;&lt;/periodical&gt;&lt;pages&gt;566-574&lt;/pages&gt;&lt;volume&gt;73&lt;/volume&gt;&lt;number&gt;3&lt;/number&gt;&lt;dates&gt;&lt;year&gt;2020&lt;/year&gt;&lt;/dates&gt;&lt;isbn&gt;0168-8278&lt;/isbn&gt;&lt;urls&gt;&lt;/urls&gt;&lt;/record&gt;&lt;/Cite&gt;&lt;/EndNote&gt;</w:instrText>
      </w:r>
      <w:r w:rsidR="004130E1" w:rsidRPr="00BA1AA3">
        <w:rPr>
          <w:rFonts w:asciiTheme="majorBidi" w:hAnsiTheme="majorBidi" w:cstheme="majorBidi"/>
          <w:sz w:val="24"/>
          <w:szCs w:val="24"/>
        </w:rPr>
        <w:fldChar w:fldCharType="separate"/>
      </w:r>
      <w:r w:rsidR="00C1118E" w:rsidRPr="00C1118E">
        <w:rPr>
          <w:rFonts w:asciiTheme="majorBidi" w:hAnsiTheme="majorBidi" w:cstheme="majorBidi"/>
          <w:b/>
          <w:noProof/>
          <w:sz w:val="24"/>
          <w:szCs w:val="24"/>
        </w:rPr>
        <w:t>[12]</w:t>
      </w:r>
      <w:r w:rsidR="004130E1" w:rsidRPr="00BA1AA3">
        <w:rPr>
          <w:rFonts w:asciiTheme="majorBidi" w:hAnsiTheme="majorBidi" w:cstheme="majorBidi"/>
          <w:sz w:val="24"/>
          <w:szCs w:val="24"/>
        </w:rPr>
        <w:fldChar w:fldCharType="end"/>
      </w:r>
      <w:r w:rsidR="004130E1" w:rsidRPr="00BA1AA3">
        <w:rPr>
          <w:rFonts w:asciiTheme="majorBidi" w:hAnsiTheme="majorBidi" w:cstheme="majorBidi"/>
          <w:sz w:val="24"/>
          <w:szCs w:val="24"/>
        </w:rPr>
        <w:t xml:space="preserve"> </w:t>
      </w:r>
      <w:r>
        <w:rPr>
          <w:rFonts w:asciiTheme="majorBidi" w:hAnsiTheme="majorBidi" w:cstheme="majorBidi"/>
          <w:sz w:val="24"/>
          <w:szCs w:val="24"/>
        </w:rPr>
        <w:t>revealed</w:t>
      </w:r>
      <w:r w:rsidR="004130E1" w:rsidRPr="00BA1AA3">
        <w:rPr>
          <w:rFonts w:asciiTheme="majorBidi" w:hAnsiTheme="majorBidi" w:cstheme="majorBidi"/>
          <w:sz w:val="24"/>
          <w:szCs w:val="24"/>
        </w:rPr>
        <w:t xml:space="preserve"> </w:t>
      </w:r>
      <w:r w:rsidR="004130E1" w:rsidRPr="00AF5787">
        <w:rPr>
          <w:rFonts w:asciiTheme="majorBidi" w:hAnsiTheme="majorBidi" w:cstheme="majorBidi"/>
          <w:color w:val="242021"/>
          <w:sz w:val="24"/>
          <w:szCs w:val="24"/>
        </w:rPr>
        <w:t>that</w:t>
      </w:r>
      <w:r w:rsidR="004130E1" w:rsidRPr="00BA1AA3">
        <w:rPr>
          <w:rFonts w:asciiTheme="majorBidi" w:hAnsiTheme="majorBidi" w:cstheme="majorBidi"/>
          <w:sz w:val="24"/>
          <w:szCs w:val="24"/>
        </w:rPr>
        <w:t xml:space="preserve"> </w:t>
      </w:r>
      <w:r w:rsidRPr="00900B90">
        <w:rPr>
          <w:rFonts w:asciiTheme="majorBidi" w:hAnsiTheme="majorBidi" w:cstheme="majorBidi"/>
          <w:sz w:val="24"/>
          <w:szCs w:val="24"/>
        </w:rPr>
        <w:t>A nine-fold increased risk of severe infection was linked to the development of liver damage during COVID-19 infection.</w:t>
      </w:r>
      <w:r w:rsidR="003B5BF8">
        <w:rPr>
          <w:rFonts w:asciiTheme="majorBidi" w:hAnsiTheme="majorBidi" w:cstheme="majorBidi"/>
          <w:sz w:val="24"/>
          <w:szCs w:val="24"/>
        </w:rPr>
        <w:t xml:space="preserve"> </w:t>
      </w:r>
      <w:r w:rsidRPr="00900B90">
        <w:rPr>
          <w:rFonts w:asciiTheme="majorBidi" w:hAnsiTheme="majorBidi" w:cstheme="majorBidi"/>
          <w:sz w:val="24"/>
          <w:szCs w:val="24"/>
        </w:rPr>
        <w:t xml:space="preserve">In such group of patients, severe measures against SARS-CoV-2 infection should be taken since this </w:t>
      </w:r>
      <w:r w:rsidRPr="00900B90">
        <w:rPr>
          <w:rFonts w:asciiTheme="majorBidi" w:hAnsiTheme="majorBidi" w:cstheme="majorBidi"/>
          <w:sz w:val="24"/>
          <w:szCs w:val="24"/>
        </w:rPr>
        <w:lastRenderedPageBreak/>
        <w:t xml:space="preserve">might be the result of immunological failure linked to cirrhosis. </w:t>
      </w:r>
      <w:r w:rsidRPr="00900B90">
        <w:rPr>
          <w:rFonts w:asciiTheme="majorBidi" w:hAnsiTheme="majorBidi" w:cstheme="majorBidi"/>
          <w:sz w:val="24"/>
          <w:szCs w:val="24"/>
          <w:lang w:bidi="ar-EG"/>
        </w:rPr>
        <w:t>Conversely</w:t>
      </w:r>
      <w:r w:rsidR="004130E1" w:rsidRPr="00BA1AA3">
        <w:rPr>
          <w:rFonts w:asciiTheme="majorBidi" w:hAnsiTheme="majorBidi" w:cstheme="majorBidi"/>
          <w:sz w:val="24"/>
          <w:szCs w:val="24"/>
          <w:lang w:bidi="ar-EG"/>
        </w:rPr>
        <w:t xml:space="preserve">, pooled analysis by Lippi et al., </w:t>
      </w:r>
      <w:r w:rsidR="009F41D6" w:rsidRPr="00BA1AA3">
        <w:rPr>
          <w:rFonts w:asciiTheme="majorBidi" w:hAnsiTheme="majorBidi" w:cstheme="majorBidi"/>
          <w:sz w:val="24"/>
          <w:szCs w:val="24"/>
          <w:lang w:bidi="ar-EG"/>
        </w:rPr>
        <w:fldChar w:fldCharType="begin"/>
      </w:r>
      <w:r w:rsidR="00C1118E">
        <w:rPr>
          <w:rFonts w:asciiTheme="majorBidi" w:hAnsiTheme="majorBidi" w:cstheme="majorBidi"/>
          <w:sz w:val="24"/>
          <w:szCs w:val="24"/>
          <w:lang w:bidi="ar-EG"/>
        </w:rPr>
        <w:instrText xml:space="preserve"> ADDIN EN.CITE &lt;EndNote&gt;&lt;Cite&gt;&lt;Author&gt;Lippi&lt;/Author&gt;&lt;Year&gt;2020&lt;/Year&gt;&lt;RecNum&gt;10&lt;/RecNum&gt;&lt;DisplayText&gt;&lt;style face="bold"&gt;[13]&lt;/style&gt;&lt;/DisplayText&gt;&lt;record&gt;&lt;rec-number&gt;10&lt;/rec-number&gt;&lt;foreign-keys&gt;&lt;key app="EN" db-id="wtvrtsw5w0s99aeat5w5zsphtatatavew2zt" timestamp="1709644894"&gt;10&lt;/key&gt;&lt;/foreign-keys&gt;&lt;ref-type name="Journal Article"&gt;17&lt;/ref-type&gt;&lt;contributors&gt;&lt;authors&gt;&lt;author&gt;Lippi, Giuseppe&lt;/author&gt;&lt;author&gt;De Oliveira, Maria Helena Santos&lt;/author&gt;&lt;author&gt;Henry, Brandon Michael&lt;/author&gt;&lt;/authors&gt;&lt;/contributors&gt;&lt;titles&gt;&lt;title&gt;Chronic liver disease is not associated with severity or mortality in Coronavirus disease 2019 (COVID-19): a pooled analysis&lt;/title&gt;&lt;secondary-title&gt;European Journal of Gastroenterology &amp;amp; Hepatology&lt;/secondary-title&gt;&lt;/titles&gt;&lt;periodical&gt;&lt;full-title&gt;European Journal of Gastroenterology &amp;amp; Hepatology&lt;/full-title&gt;&lt;/periodical&gt;&lt;dates&gt;&lt;year&gt;2020&lt;/year&gt;&lt;/dates&gt;&lt;urls&gt;&lt;/urls&gt;&lt;/record&gt;&lt;/Cite&gt;&lt;/EndNote&gt;</w:instrText>
      </w:r>
      <w:r w:rsidR="009F41D6" w:rsidRPr="00BA1AA3">
        <w:rPr>
          <w:rFonts w:asciiTheme="majorBidi" w:hAnsiTheme="majorBidi" w:cstheme="majorBidi"/>
          <w:sz w:val="24"/>
          <w:szCs w:val="24"/>
          <w:lang w:bidi="ar-EG"/>
        </w:rPr>
        <w:fldChar w:fldCharType="separate"/>
      </w:r>
      <w:r w:rsidR="00C1118E" w:rsidRPr="00C1118E">
        <w:rPr>
          <w:rFonts w:asciiTheme="majorBidi" w:hAnsiTheme="majorBidi" w:cstheme="majorBidi"/>
          <w:b/>
          <w:noProof/>
          <w:sz w:val="24"/>
          <w:szCs w:val="24"/>
          <w:lang w:bidi="ar-EG"/>
        </w:rPr>
        <w:t>[13]</w:t>
      </w:r>
      <w:r w:rsidR="009F41D6" w:rsidRPr="00BA1AA3">
        <w:rPr>
          <w:rFonts w:asciiTheme="majorBidi" w:hAnsiTheme="majorBidi" w:cstheme="majorBidi"/>
          <w:sz w:val="24"/>
          <w:szCs w:val="24"/>
          <w:lang w:bidi="ar-EG"/>
        </w:rPr>
        <w:fldChar w:fldCharType="end"/>
      </w:r>
      <w:r w:rsidR="009F41D6" w:rsidRPr="00BA1AA3">
        <w:rPr>
          <w:rFonts w:asciiTheme="majorBidi" w:hAnsiTheme="majorBidi" w:cstheme="majorBidi"/>
          <w:sz w:val="24"/>
          <w:szCs w:val="24"/>
          <w:lang w:bidi="ar-EG"/>
        </w:rPr>
        <w:t xml:space="preserve"> </w:t>
      </w:r>
      <w:r w:rsidRPr="00900B90">
        <w:rPr>
          <w:rFonts w:asciiTheme="majorBidi" w:hAnsiTheme="majorBidi" w:cstheme="majorBidi"/>
          <w:sz w:val="24"/>
          <w:szCs w:val="24"/>
          <w:lang w:bidi="ar-EG"/>
        </w:rPr>
        <w:t xml:space="preserve">revealed </w:t>
      </w:r>
      <w:r w:rsidR="004130E1" w:rsidRPr="00BA1AA3">
        <w:rPr>
          <w:rFonts w:asciiTheme="majorBidi" w:hAnsiTheme="majorBidi" w:cstheme="majorBidi"/>
          <w:sz w:val="24"/>
          <w:szCs w:val="24"/>
          <w:lang w:bidi="ar-EG"/>
        </w:rPr>
        <w:t xml:space="preserve">that </w:t>
      </w:r>
      <w:r w:rsidRPr="00900B90">
        <w:rPr>
          <w:rFonts w:asciiTheme="majorBidi" w:hAnsiTheme="majorBidi" w:cstheme="majorBidi"/>
          <w:sz w:val="24"/>
          <w:szCs w:val="24"/>
          <w:lang w:bidi="ar-EG"/>
        </w:rPr>
        <w:t>There may be no correlation between the severity or mortality of chronic liver disease</w:t>
      </w:r>
      <w:r w:rsidR="004130E1" w:rsidRPr="00BA1AA3">
        <w:rPr>
          <w:rFonts w:asciiTheme="majorBidi" w:hAnsiTheme="majorBidi" w:cstheme="majorBidi"/>
          <w:sz w:val="24"/>
          <w:szCs w:val="24"/>
          <w:lang w:bidi="ar-EG"/>
        </w:rPr>
        <w:t>.</w:t>
      </w:r>
    </w:p>
    <w:p w14:paraId="55E804CF" w14:textId="4FB462B9" w:rsidR="004130E1" w:rsidRPr="00BA1AA3" w:rsidRDefault="00900B90" w:rsidP="00C1118E">
      <w:pPr>
        <w:spacing w:before="120" w:after="0" w:line="360" w:lineRule="auto"/>
        <w:ind w:firstLine="720"/>
        <w:jc w:val="both"/>
        <w:rPr>
          <w:rFonts w:asciiTheme="majorBidi" w:hAnsiTheme="majorBidi" w:cstheme="majorBidi"/>
          <w:sz w:val="24"/>
          <w:szCs w:val="24"/>
          <w:lang w:bidi="ar-EG"/>
        </w:rPr>
      </w:pPr>
      <w:r w:rsidRPr="00900B90">
        <w:rPr>
          <w:rFonts w:asciiTheme="majorBidi" w:hAnsiTheme="majorBidi" w:cstheme="majorBidi"/>
          <w:sz w:val="24"/>
          <w:szCs w:val="24"/>
          <w:lang w:bidi="ar-EG"/>
        </w:rPr>
        <w:t>Patients with circulatory problems may be more susceptible to severe illness, hepatic decompensation, and SARS-CoV-2 infection. Significant cytokine activation associated with COVID-19 causes hepatocyte apoptosis and necrosis, which may result in hepatic decompensation given the reduced liver reserve.</w:t>
      </w:r>
      <w:r w:rsidR="004130E1" w:rsidRPr="00BA1AA3">
        <w:rPr>
          <w:rFonts w:asciiTheme="majorBidi" w:hAnsiTheme="majorBidi" w:cstheme="majorBidi"/>
          <w:sz w:val="24"/>
          <w:szCs w:val="24"/>
          <w:lang w:bidi="ar-EG"/>
        </w:rPr>
        <w:fldChar w:fldCharType="begin"/>
      </w:r>
      <w:r w:rsidR="00C1118E">
        <w:rPr>
          <w:rFonts w:asciiTheme="majorBidi" w:hAnsiTheme="majorBidi" w:cstheme="majorBidi"/>
          <w:sz w:val="24"/>
          <w:szCs w:val="24"/>
          <w:lang w:bidi="ar-EG"/>
        </w:rPr>
        <w:instrText xml:space="preserve"> ADDIN EN.CITE &lt;EndNote&gt;&lt;Cite&gt;&lt;Author&gt;Xiao&lt;/Author&gt;&lt;Year&gt;2020&lt;/Year&gt;&lt;RecNum&gt;11&lt;/RecNum&gt;&lt;DisplayText&gt;&lt;style face="bold"&gt;[14]&lt;/style&gt;&lt;/DisplayText&gt;&lt;record&gt;&lt;rec-number&gt;11&lt;/rec-number&gt;&lt;foreign-keys&gt;&lt;key app="EN" db-id="wtvrtsw5w0s99aeat5w5zsphtatatavew2zt" timestamp="1709644894"&gt;11&lt;/key&gt;&lt;/foreign-keys&gt;&lt;ref-type name="Journal Article"&gt;17&lt;/ref-type&gt;&lt;contributors&gt;&lt;authors&gt;&lt;author&gt;Xiao, Yong&lt;/author&gt;&lt;author&gt;Pan, Hong&lt;/author&gt;&lt;author&gt;She, Qian&lt;/author&gt;&lt;author&gt;Wang, Fen&lt;/author&gt;&lt;author&gt;Chen, Mingkai&lt;/author&gt;&lt;/authors&gt;&lt;/contributors&gt;&lt;titles&gt;&lt;title&gt;Prevention of SARS-CoV-2 infection in patients with decompensated cirrhosis&lt;/title&gt;&lt;secondary-title&gt;The Lancet Gastroenterology &amp;amp; Hepatology&lt;/secondary-title&gt;&lt;/titles&gt;&lt;periodical&gt;&lt;full-title&gt;The Lancet Gastroenterology &amp;amp; Hepatology&lt;/full-title&gt;&lt;/periodical&gt;&lt;pages&gt;528-529&lt;/pages&gt;&lt;volume&gt;5&lt;/volume&gt;&lt;number&gt;6&lt;/number&gt;&lt;dates&gt;&lt;year&gt;2020&lt;/year&gt;&lt;/dates&gt;&lt;isbn&gt;2468-1253&lt;/isbn&gt;&lt;urls&gt;&lt;/urls&gt;&lt;/record&gt;&lt;/Cite&gt;&lt;/EndNote&gt;</w:instrText>
      </w:r>
      <w:r w:rsidR="004130E1" w:rsidRPr="00BA1AA3">
        <w:rPr>
          <w:rFonts w:asciiTheme="majorBidi" w:hAnsiTheme="majorBidi" w:cstheme="majorBidi"/>
          <w:sz w:val="24"/>
          <w:szCs w:val="24"/>
          <w:lang w:bidi="ar-EG"/>
        </w:rPr>
        <w:fldChar w:fldCharType="separate"/>
      </w:r>
      <w:r w:rsidR="00C1118E" w:rsidRPr="00C1118E">
        <w:rPr>
          <w:rFonts w:asciiTheme="majorBidi" w:hAnsiTheme="majorBidi" w:cstheme="majorBidi"/>
          <w:b/>
          <w:noProof/>
          <w:sz w:val="24"/>
          <w:szCs w:val="24"/>
          <w:lang w:bidi="ar-EG"/>
        </w:rPr>
        <w:t>[14]</w:t>
      </w:r>
      <w:r w:rsidR="004130E1" w:rsidRPr="00BA1AA3">
        <w:rPr>
          <w:rFonts w:asciiTheme="majorBidi" w:hAnsiTheme="majorBidi" w:cstheme="majorBidi"/>
          <w:sz w:val="24"/>
          <w:szCs w:val="24"/>
          <w:lang w:bidi="ar-EG"/>
        </w:rPr>
        <w:fldChar w:fldCharType="end"/>
      </w:r>
      <w:r w:rsidR="004130E1" w:rsidRPr="00BA1AA3">
        <w:rPr>
          <w:rFonts w:asciiTheme="majorBidi" w:hAnsiTheme="majorBidi" w:cstheme="majorBidi"/>
          <w:sz w:val="24"/>
          <w:szCs w:val="24"/>
          <w:lang w:bidi="ar-EG"/>
        </w:rPr>
        <w:t>.</w:t>
      </w:r>
    </w:p>
    <w:p w14:paraId="410D5463" w14:textId="587290D0" w:rsidR="004130E1" w:rsidRPr="00BA1AA3" w:rsidRDefault="004130E1" w:rsidP="00C1118E">
      <w:pPr>
        <w:spacing w:before="120" w:after="0" w:line="360" w:lineRule="auto"/>
        <w:ind w:firstLine="720"/>
        <w:jc w:val="both"/>
        <w:rPr>
          <w:rFonts w:asciiTheme="majorBidi" w:hAnsiTheme="majorBidi" w:cstheme="majorBidi"/>
          <w:sz w:val="24"/>
          <w:szCs w:val="24"/>
          <w:lang w:bidi="ar-EG"/>
        </w:rPr>
      </w:pPr>
      <w:r w:rsidRPr="00BA1AA3">
        <w:rPr>
          <w:rFonts w:asciiTheme="majorBidi" w:hAnsiTheme="majorBidi" w:cstheme="majorBidi"/>
          <w:sz w:val="24"/>
          <w:szCs w:val="24"/>
          <w:lang w:bidi="ar-EG"/>
        </w:rPr>
        <w:t xml:space="preserve">In the present work, the studied patients in both groups showed raised baseline liver enzymes and serum bilirubin </w:t>
      </w:r>
      <w:r w:rsidRPr="00AF5787">
        <w:rPr>
          <w:rFonts w:asciiTheme="majorBidi" w:hAnsiTheme="majorBidi" w:cstheme="majorBidi"/>
          <w:color w:val="242021"/>
          <w:sz w:val="24"/>
          <w:szCs w:val="24"/>
        </w:rPr>
        <w:t>levels</w:t>
      </w:r>
      <w:r w:rsidR="00B615DB" w:rsidRPr="00BA1AA3">
        <w:rPr>
          <w:rFonts w:asciiTheme="majorBidi" w:hAnsiTheme="majorBidi" w:cstheme="majorBidi"/>
          <w:sz w:val="24"/>
          <w:szCs w:val="24"/>
          <w:lang w:bidi="ar-EG"/>
        </w:rPr>
        <w:t xml:space="preserve"> with post-recovery improvement without statistical significance</w:t>
      </w:r>
      <w:r w:rsidRPr="00BA1AA3">
        <w:rPr>
          <w:rFonts w:asciiTheme="majorBidi" w:hAnsiTheme="majorBidi" w:cstheme="majorBidi"/>
          <w:sz w:val="24"/>
          <w:szCs w:val="24"/>
          <w:lang w:bidi="ar-EG"/>
        </w:rPr>
        <w:t>. We found that, among non-CLD patients, 6 (20%) patients developed raised</w:t>
      </w:r>
      <w:r w:rsidR="00B615DB" w:rsidRPr="00BA1AA3">
        <w:rPr>
          <w:rFonts w:asciiTheme="majorBidi" w:hAnsiTheme="majorBidi" w:cstheme="majorBidi"/>
          <w:sz w:val="24"/>
          <w:szCs w:val="24"/>
          <w:lang w:bidi="ar-EG"/>
        </w:rPr>
        <w:t xml:space="preserve"> liver enzyme levels</w:t>
      </w:r>
      <w:r w:rsidRPr="00BA1AA3">
        <w:rPr>
          <w:rFonts w:asciiTheme="majorBidi" w:hAnsiTheme="majorBidi" w:cstheme="majorBidi"/>
          <w:sz w:val="24"/>
          <w:szCs w:val="24"/>
          <w:lang w:bidi="ar-EG"/>
        </w:rPr>
        <w:t xml:space="preserve"> and another 3 (10%) patients developed jaundice. </w:t>
      </w:r>
      <w:r w:rsidR="00900B90" w:rsidRPr="00900B90">
        <w:rPr>
          <w:rFonts w:asciiTheme="majorBidi" w:hAnsiTheme="majorBidi" w:cstheme="majorBidi"/>
          <w:sz w:val="24"/>
          <w:szCs w:val="24"/>
          <w:lang w:bidi="ar-EG"/>
        </w:rPr>
        <w:t>Our findings concurred with those of Cai et al., </w:t>
      </w:r>
      <w:r w:rsidRPr="00BA1AA3">
        <w:rPr>
          <w:rFonts w:asciiTheme="majorBidi" w:hAnsiTheme="majorBidi" w:cstheme="majorBidi"/>
          <w:sz w:val="24"/>
          <w:szCs w:val="24"/>
          <w:lang w:bidi="ar-EG"/>
        </w:rPr>
        <w:fldChar w:fldCharType="begin"/>
      </w:r>
      <w:r w:rsidR="00C1118E">
        <w:rPr>
          <w:rFonts w:asciiTheme="majorBidi" w:hAnsiTheme="majorBidi" w:cstheme="majorBidi"/>
          <w:sz w:val="24"/>
          <w:szCs w:val="24"/>
          <w:lang w:bidi="ar-EG"/>
        </w:rPr>
        <w:instrText xml:space="preserve"> ADDIN EN.CITE &lt;EndNote&gt;&lt;Cite&gt;&lt;Author&gt;Cai&lt;/Author&gt;&lt;Year&gt;2020&lt;/Year&gt;&lt;RecNum&gt;9&lt;/RecNum&gt;&lt;DisplayText&gt;&lt;style face="bold"&gt;[12]&lt;/style&gt;&lt;/DisplayText&gt;&lt;record&gt;&lt;rec-number&gt;9&lt;/rec-number&gt;&lt;foreign-keys&gt;&lt;key app="EN" db-id="wtvrtsw5w0s99aeat5w5zsphtatatavew2zt" timestamp="1709644894"&gt;9&lt;/key&gt;&lt;/foreign-keys&gt;&lt;ref-type name="Journal Article"&gt;17&lt;/ref-type&gt;&lt;contributors&gt;&lt;authors&gt;&lt;author&gt;Cai, Qingxian&lt;/author&gt;&lt;author&gt;Huang, Deliang&lt;/author&gt;&lt;author&gt;Yu, Hong&lt;/author&gt;&lt;author&gt;Zhu, Zhibin&lt;/author&gt;&lt;author&gt;Xia, Zhang&lt;/author&gt;&lt;author&gt;Su, Yinan&lt;/author&gt;&lt;author&gt;Li, Zhiwei&lt;/author&gt;&lt;author&gt;Zhou, Guangde&lt;/author&gt;&lt;author&gt;Gou, Jizhou&lt;/author&gt;&lt;author&gt;Qu, Jiuxin&lt;/author&gt;&lt;/authors&gt;&lt;/contributors&gt;&lt;titles&gt;&lt;title&gt;COVID-19: Abnormal liver function tests&lt;/title&gt;&lt;secondary-title&gt;Journal of hepatology&lt;/secondary-title&gt;&lt;/titles&gt;&lt;periodical&gt;&lt;full-title&gt;Journal of hepatology&lt;/full-title&gt;&lt;/periodical&gt;&lt;pages&gt;566-574&lt;/pages&gt;&lt;volume&gt;73&lt;/volume&gt;&lt;number&gt;3&lt;/number&gt;&lt;dates&gt;&lt;year&gt;2020&lt;/year&gt;&lt;/dates&gt;&lt;isbn&gt;0168-8278&lt;/isbn&gt;&lt;urls&gt;&lt;/urls&gt;&lt;/record&gt;&lt;/Cite&gt;&lt;/EndNote&gt;</w:instrText>
      </w:r>
      <w:r w:rsidRPr="00BA1AA3">
        <w:rPr>
          <w:rFonts w:asciiTheme="majorBidi" w:hAnsiTheme="majorBidi" w:cstheme="majorBidi"/>
          <w:sz w:val="24"/>
          <w:szCs w:val="24"/>
          <w:lang w:bidi="ar-EG"/>
        </w:rPr>
        <w:fldChar w:fldCharType="separate"/>
      </w:r>
      <w:r w:rsidR="00C1118E" w:rsidRPr="00C1118E">
        <w:rPr>
          <w:rFonts w:asciiTheme="majorBidi" w:hAnsiTheme="majorBidi" w:cstheme="majorBidi"/>
          <w:b/>
          <w:noProof/>
          <w:sz w:val="24"/>
          <w:szCs w:val="24"/>
          <w:lang w:bidi="ar-EG"/>
        </w:rPr>
        <w:t>[12]</w:t>
      </w:r>
      <w:r w:rsidRPr="00BA1AA3">
        <w:rPr>
          <w:rFonts w:asciiTheme="majorBidi" w:hAnsiTheme="majorBidi" w:cstheme="majorBidi"/>
          <w:sz w:val="24"/>
          <w:szCs w:val="24"/>
          <w:lang w:bidi="ar-EG"/>
        </w:rPr>
        <w:fldChar w:fldCharType="end"/>
      </w:r>
      <w:r w:rsidRPr="00BA1AA3">
        <w:rPr>
          <w:rFonts w:asciiTheme="majorBidi" w:hAnsiTheme="majorBidi" w:cstheme="majorBidi"/>
          <w:sz w:val="24"/>
          <w:szCs w:val="24"/>
          <w:lang w:bidi="ar-EG"/>
        </w:rPr>
        <w:t xml:space="preserve"> </w:t>
      </w:r>
      <w:r w:rsidR="00900B90">
        <w:rPr>
          <w:rFonts w:asciiTheme="majorBidi" w:hAnsiTheme="majorBidi" w:cstheme="majorBidi"/>
          <w:sz w:val="24"/>
          <w:szCs w:val="24"/>
          <w:lang w:bidi="ar-EG"/>
        </w:rPr>
        <w:t>revealed</w:t>
      </w:r>
      <w:r w:rsidRPr="00BA1AA3">
        <w:rPr>
          <w:rFonts w:asciiTheme="majorBidi" w:hAnsiTheme="majorBidi" w:cstheme="majorBidi"/>
          <w:sz w:val="24"/>
          <w:szCs w:val="24"/>
          <w:lang w:bidi="ar-EG"/>
        </w:rPr>
        <w:t xml:space="preserve"> that </w:t>
      </w:r>
      <w:r w:rsidR="00900B90" w:rsidRPr="00900B90">
        <w:rPr>
          <w:rFonts w:asciiTheme="majorBidi" w:hAnsiTheme="majorBidi" w:cstheme="majorBidi"/>
          <w:sz w:val="24"/>
          <w:szCs w:val="24"/>
          <w:lang w:bidi="ar-EG"/>
        </w:rPr>
        <w:t>Almost half of the patients had aberrant liver blood tests at some point during the SARS-CoV-2 infection.</w:t>
      </w:r>
      <w:r w:rsidR="00B615DB" w:rsidRPr="00BA1AA3">
        <w:rPr>
          <w:rFonts w:asciiTheme="majorBidi" w:hAnsiTheme="majorBidi" w:cstheme="majorBidi"/>
          <w:sz w:val="24"/>
          <w:szCs w:val="24"/>
          <w:lang w:bidi="ar-EG"/>
        </w:rPr>
        <w:t xml:space="preserve"> </w:t>
      </w:r>
    </w:p>
    <w:p w14:paraId="376B35FA" w14:textId="65B37F94" w:rsidR="004130E1" w:rsidRPr="00BA1AA3" w:rsidRDefault="004130E1" w:rsidP="00C1118E">
      <w:pPr>
        <w:spacing w:before="120" w:after="0" w:line="360" w:lineRule="auto"/>
        <w:ind w:firstLine="720"/>
        <w:jc w:val="both"/>
        <w:rPr>
          <w:rFonts w:asciiTheme="majorBidi" w:hAnsiTheme="majorBidi" w:cstheme="majorBidi"/>
          <w:sz w:val="24"/>
          <w:szCs w:val="24"/>
        </w:rPr>
      </w:pPr>
      <w:r w:rsidRPr="00BA1AA3">
        <w:rPr>
          <w:rFonts w:asciiTheme="majorBidi" w:hAnsiTheme="majorBidi" w:cstheme="majorBidi"/>
          <w:sz w:val="24"/>
          <w:szCs w:val="24"/>
        </w:rPr>
        <w:t xml:space="preserve">Our findings were consistent with those of Wang et al., </w:t>
      </w:r>
      <w:r w:rsidRPr="00BA1AA3">
        <w:rPr>
          <w:rFonts w:asciiTheme="majorBidi" w:hAnsiTheme="majorBidi" w:cstheme="majorBidi"/>
          <w:sz w:val="24"/>
          <w:szCs w:val="24"/>
        </w:rPr>
        <w:fldChar w:fldCharType="begin"/>
      </w:r>
      <w:r w:rsidR="00C1118E">
        <w:rPr>
          <w:rFonts w:asciiTheme="majorBidi" w:hAnsiTheme="majorBidi" w:cstheme="majorBidi"/>
          <w:sz w:val="24"/>
          <w:szCs w:val="24"/>
        </w:rPr>
        <w:instrText xml:space="preserve"> ADDIN EN.CITE &lt;EndNote&gt;&lt;Cite&gt;&lt;Author&gt;Wang&lt;/Author&gt;&lt;Year&gt;2020&lt;/Year&gt;&lt;RecNum&gt;12&lt;/RecNum&gt;&lt;DisplayText&gt;&lt;style face="bold"&gt;[15]&lt;/style&gt;&lt;/DisplayText&gt;&lt;record&gt;&lt;rec-number&gt;12&lt;/rec-number&gt;&lt;foreign-keys&gt;&lt;key app="EN" db-id="wtvrtsw5w0s99aeat5w5zsphtatatavew2zt" timestamp="1709644894"&gt;12&lt;/key&gt;&lt;/foreign-keys&gt;&lt;ref-type name="Journal Article"&gt;17&lt;/ref-type&gt;&lt;contributors&gt;&lt;authors&gt;&lt;author&gt;Wang, Qi&lt;/author&gt;&lt;author&gt;Zhao, Hong&lt;/author&gt;&lt;author&gt;Liu, Li-Gai&lt;/author&gt;&lt;author&gt;Wang, Yan-Bin&lt;/author&gt;&lt;author&gt;Zhang, Ting&lt;/author&gt;&lt;author&gt;Li, Ming-Hui&lt;/author&gt;&lt;author&gt;Xu, Yan-Li&lt;/author&gt;&lt;author&gt;Gao, Gui-Ju&lt;/author&gt;&lt;author&gt;Xiong, Hao-Feng&lt;/author&gt;&lt;author&gt;Fan, Ying&lt;/author&gt;&lt;/authors&gt;&lt;/contributors&gt;&lt;titles&gt;&lt;title&gt;Pattern of liver injury in adult patients with COVID-19: a retrospective analysis of 105 patients&lt;/title&gt;&lt;secondary-title&gt;Military Medical Research&lt;/secondary-title&gt;&lt;/titles&gt;&lt;periodical&gt;&lt;full-title&gt;Military Medical Research&lt;/full-title&gt;&lt;/periodical&gt;&lt;pages&gt;1-8&lt;/pages&gt;&lt;volume&gt;7&lt;/volume&gt;&lt;number&gt;1&lt;/number&gt;&lt;dates&gt;&lt;year&gt;2020&lt;/year&gt;&lt;/dates&gt;&lt;isbn&gt;2054-9369&lt;/isbn&gt;&lt;urls&gt;&lt;/urls&gt;&lt;/record&gt;&lt;/Cite&gt;&lt;/EndNote&gt;</w:instrText>
      </w:r>
      <w:r w:rsidRPr="00BA1AA3">
        <w:rPr>
          <w:rFonts w:asciiTheme="majorBidi" w:hAnsiTheme="majorBidi" w:cstheme="majorBidi"/>
          <w:sz w:val="24"/>
          <w:szCs w:val="24"/>
        </w:rPr>
        <w:fldChar w:fldCharType="separate"/>
      </w:r>
      <w:r w:rsidR="00C1118E" w:rsidRPr="00C1118E">
        <w:rPr>
          <w:rFonts w:asciiTheme="majorBidi" w:hAnsiTheme="majorBidi" w:cstheme="majorBidi"/>
          <w:b/>
          <w:noProof/>
          <w:sz w:val="24"/>
          <w:szCs w:val="24"/>
        </w:rPr>
        <w:t>[15]</w:t>
      </w:r>
      <w:r w:rsidRPr="00BA1AA3">
        <w:rPr>
          <w:rFonts w:asciiTheme="majorBidi" w:hAnsiTheme="majorBidi" w:cstheme="majorBidi"/>
          <w:sz w:val="24"/>
          <w:szCs w:val="24"/>
        </w:rPr>
        <w:fldChar w:fldCharType="end"/>
      </w:r>
      <w:r w:rsidRPr="00BA1AA3">
        <w:rPr>
          <w:rFonts w:asciiTheme="majorBidi" w:hAnsiTheme="majorBidi" w:cstheme="majorBidi"/>
          <w:sz w:val="24"/>
          <w:szCs w:val="24"/>
        </w:rPr>
        <w:t xml:space="preserve"> that showed mild elevations in ALT and AST </w:t>
      </w:r>
      <w:r w:rsidRPr="00AF5787">
        <w:rPr>
          <w:rFonts w:asciiTheme="majorBidi" w:hAnsiTheme="majorBidi" w:cstheme="majorBidi"/>
          <w:color w:val="242021"/>
          <w:sz w:val="24"/>
          <w:szCs w:val="24"/>
        </w:rPr>
        <w:t>during</w:t>
      </w:r>
      <w:r w:rsidRPr="00BA1AA3">
        <w:rPr>
          <w:rFonts w:asciiTheme="majorBidi" w:hAnsiTheme="majorBidi" w:cstheme="majorBidi"/>
          <w:sz w:val="24"/>
          <w:szCs w:val="24"/>
        </w:rPr>
        <w:t xml:space="preserve"> COVID-19 disease course and during treatment, with most patients discharged with normal liver markers.</w:t>
      </w:r>
    </w:p>
    <w:p w14:paraId="3EF987DA" w14:textId="372A3D4D" w:rsidR="00900B90" w:rsidRDefault="004130E1" w:rsidP="00C1118E">
      <w:pPr>
        <w:spacing w:before="120" w:after="0" w:line="360" w:lineRule="auto"/>
        <w:ind w:firstLine="720"/>
        <w:jc w:val="both"/>
        <w:rPr>
          <w:rFonts w:asciiTheme="majorBidi" w:hAnsiTheme="majorBidi" w:cstheme="majorBidi"/>
          <w:sz w:val="24"/>
          <w:szCs w:val="24"/>
        </w:rPr>
      </w:pPr>
      <w:r w:rsidRPr="00BA1AA3">
        <w:rPr>
          <w:rFonts w:asciiTheme="majorBidi" w:hAnsiTheme="majorBidi" w:cstheme="majorBidi"/>
          <w:sz w:val="24"/>
          <w:szCs w:val="24"/>
        </w:rPr>
        <w:t xml:space="preserve">Richardson  et al., </w:t>
      </w:r>
      <w:r w:rsidRPr="00BA1AA3">
        <w:rPr>
          <w:rFonts w:asciiTheme="majorBidi" w:hAnsiTheme="majorBidi" w:cstheme="majorBidi"/>
          <w:sz w:val="24"/>
          <w:szCs w:val="24"/>
        </w:rPr>
        <w:fldChar w:fldCharType="begin"/>
      </w:r>
      <w:r w:rsidR="00C1118E">
        <w:rPr>
          <w:rFonts w:asciiTheme="majorBidi" w:hAnsiTheme="majorBidi" w:cstheme="majorBidi"/>
          <w:sz w:val="24"/>
          <w:szCs w:val="24"/>
        </w:rPr>
        <w:instrText xml:space="preserve"> ADDIN EN.CITE &lt;EndNote&gt;&lt;Cite&gt;&lt;Author&gt;Richardson&lt;/Author&gt;&lt;Year&gt;2020&lt;/Year&gt;&lt;RecNum&gt;13&lt;/RecNum&gt;&lt;DisplayText&gt;&lt;style face="bold"&gt;[16]&lt;/style&gt;&lt;/DisplayText&gt;&lt;record&gt;&lt;rec-number&gt;13&lt;/rec-number&gt;&lt;foreign-keys&gt;&lt;key app="EN" db-id="wtvrtsw5w0s99aeat5w5zsphtatatavew2zt" timestamp="1709644894"&gt;13&lt;/key&gt;&lt;/foreign-keys&gt;&lt;ref-type name="Journal Article"&gt;17&lt;/ref-type&gt;&lt;contributors&gt;&lt;authors&gt;&lt;author&gt;Richardson, Safiya&lt;/author&gt;&lt;author&gt;Hirsch, Jamie S&lt;/author&gt;&lt;author&gt;Narasimhan, Mangala&lt;/author&gt;&lt;author&gt;Crawford, James M&lt;/author&gt;&lt;author&gt;McGinn, Thomas&lt;/author&gt;&lt;author&gt;Davidson, Karina W&lt;/author&gt;&lt;author&gt;Barnaby, Douglas P&lt;/author&gt;&lt;author&gt;Becker, Lance B&lt;/author&gt;&lt;author&gt;Chelico, John D&lt;/author&gt;&lt;author&gt;Cohen, Stuart L&lt;/author&gt;&lt;/authors&gt;&lt;/contributors&gt;&lt;titles&gt;&lt;title&gt;Presenting characteristics, comorbidities, and outcomes among 5700 patients hospitalized with COVID-19 in the New York City area&lt;/title&gt;&lt;secondary-title&gt;Jama&lt;/secondary-title&gt;&lt;/titles&gt;&lt;periodical&gt;&lt;full-title&gt;Jama&lt;/full-title&gt;&lt;/periodical&gt;&lt;pages&gt;2052-2059&lt;/pages&gt;&lt;volume&gt;323&lt;/volume&gt;&lt;number&gt;20&lt;/number&gt;&lt;dates&gt;&lt;year&gt;2020&lt;/year&gt;&lt;/dates&gt;&lt;isbn&gt;0098-7484&lt;/isbn&gt;&lt;urls&gt;&lt;/urls&gt;&lt;/record&gt;&lt;/Cite&gt;&lt;/EndNote&gt;</w:instrText>
      </w:r>
      <w:r w:rsidRPr="00BA1AA3">
        <w:rPr>
          <w:rFonts w:asciiTheme="majorBidi" w:hAnsiTheme="majorBidi" w:cstheme="majorBidi"/>
          <w:sz w:val="24"/>
          <w:szCs w:val="24"/>
        </w:rPr>
        <w:fldChar w:fldCharType="separate"/>
      </w:r>
      <w:r w:rsidR="00C1118E" w:rsidRPr="00C1118E">
        <w:rPr>
          <w:rFonts w:asciiTheme="majorBidi" w:hAnsiTheme="majorBidi" w:cstheme="majorBidi"/>
          <w:b/>
          <w:noProof/>
          <w:sz w:val="24"/>
          <w:szCs w:val="24"/>
        </w:rPr>
        <w:t>[16]</w:t>
      </w:r>
      <w:r w:rsidRPr="00BA1AA3">
        <w:rPr>
          <w:rFonts w:asciiTheme="majorBidi" w:hAnsiTheme="majorBidi" w:cstheme="majorBidi"/>
          <w:sz w:val="24"/>
          <w:szCs w:val="24"/>
        </w:rPr>
        <w:fldChar w:fldCharType="end"/>
      </w:r>
      <w:r w:rsidRPr="00BA1AA3">
        <w:rPr>
          <w:rFonts w:asciiTheme="majorBidi" w:hAnsiTheme="majorBidi" w:cstheme="majorBidi"/>
          <w:sz w:val="24"/>
          <w:szCs w:val="24"/>
        </w:rPr>
        <w:t xml:space="preserve"> documented that </w:t>
      </w:r>
      <w:r w:rsidR="00900B90" w:rsidRPr="00900B90">
        <w:rPr>
          <w:rFonts w:asciiTheme="majorBidi" w:hAnsiTheme="majorBidi" w:cstheme="majorBidi"/>
          <w:sz w:val="24"/>
          <w:szCs w:val="24"/>
        </w:rPr>
        <w:t xml:space="preserve">During COVID-19 illness, AST and ALT were often increased (58.4% and 39.0% of patients, respectively). </w:t>
      </w:r>
    </w:p>
    <w:p w14:paraId="270293C2" w14:textId="6017B0A7" w:rsidR="004130E1" w:rsidRPr="00BA1AA3" w:rsidRDefault="004130E1" w:rsidP="00C1118E">
      <w:pPr>
        <w:spacing w:before="120" w:after="0" w:line="360" w:lineRule="auto"/>
        <w:ind w:firstLine="720"/>
        <w:jc w:val="both"/>
        <w:rPr>
          <w:rFonts w:asciiTheme="majorBidi" w:hAnsiTheme="majorBidi" w:cstheme="majorBidi"/>
          <w:sz w:val="24"/>
          <w:szCs w:val="24"/>
        </w:rPr>
      </w:pPr>
      <w:r w:rsidRPr="00BA1AA3">
        <w:rPr>
          <w:rFonts w:asciiTheme="majorBidi" w:hAnsiTheme="majorBidi" w:cstheme="majorBidi"/>
          <w:sz w:val="24"/>
          <w:szCs w:val="24"/>
        </w:rPr>
        <w:t xml:space="preserve">Furthermore, Ji et al., </w:t>
      </w:r>
      <w:r w:rsidRPr="00BA1AA3">
        <w:rPr>
          <w:rFonts w:asciiTheme="majorBidi" w:hAnsiTheme="majorBidi" w:cstheme="majorBidi"/>
          <w:sz w:val="24"/>
          <w:szCs w:val="24"/>
        </w:rPr>
        <w:fldChar w:fldCharType="begin"/>
      </w:r>
      <w:r w:rsidR="00C1118E">
        <w:rPr>
          <w:rFonts w:asciiTheme="majorBidi" w:hAnsiTheme="majorBidi" w:cstheme="majorBidi"/>
          <w:sz w:val="24"/>
          <w:szCs w:val="24"/>
        </w:rPr>
        <w:instrText xml:space="preserve"> ADDIN EN.CITE &lt;EndNote&gt;&lt;Cite&gt;&lt;Author&gt;Ji&lt;/Author&gt;&lt;Year&gt;2021&lt;/Year&gt;&lt;RecNum&gt;14&lt;/RecNum&gt;&lt;DisplayText&gt;&lt;style face="bold"&gt;[17]&lt;/style&gt;&lt;/DisplayText&gt;&lt;record&gt;&lt;rec-number&gt;14&lt;/rec-number&gt;&lt;foreign-keys&gt;&lt;key app="EN" db-id="wtvrtsw5w0s99aeat5w5zsphtatatavew2zt" timestamp="1709644894"&gt;14&lt;/key&gt;&lt;/foreign-keys&gt;&lt;ref-type name="Journal Article"&gt;17&lt;/ref-type&gt;&lt;contributors&gt;&lt;authors&gt;&lt;author&gt;Ji, Xin-yu&lt;/author&gt;&lt;author&gt;Ma, Yan&lt;/author&gt;&lt;author&gt;Shi, Nan-nan&lt;/author&gt;&lt;author&gt;Liang, Ning&lt;/author&gt;&lt;author&gt;Chen, Ren-bo&lt;/author&gt;&lt;author&gt;Liu, Si-hong&lt;/author&gt;&lt;author&gt;Shi, Shuai&lt;/author&gt;&lt;author&gt;Wu, Gui-hui&lt;/author&gt;&lt;author&gt;Li, Ji-ke&lt;/author&gt;&lt;author&gt;Chen, Hong&lt;/author&gt;&lt;/authors&gt;&lt;/contributors&gt;&lt;titles&gt;&lt;title&gt;Clinical characteristics and treatment outcome of COVID-19 patients with stroke in China: A multicenter retrospective study&lt;/title&gt;&lt;secondary-title&gt;Phytomedicine&lt;/secondary-title&gt;&lt;/titles&gt;&lt;periodical&gt;&lt;full-title&gt;Phytomedicine&lt;/full-title&gt;&lt;/periodical&gt;&lt;pages&gt;153433&lt;/pages&gt;&lt;volume&gt;81&lt;/volume&gt;&lt;dates&gt;&lt;year&gt;2021&lt;/year&gt;&lt;/dates&gt;&lt;isbn&gt;0944-7113&lt;/isbn&gt;&lt;urls&gt;&lt;/urls&gt;&lt;/record&gt;&lt;/Cite&gt;&lt;/EndNote&gt;</w:instrText>
      </w:r>
      <w:r w:rsidRPr="00BA1AA3">
        <w:rPr>
          <w:rFonts w:asciiTheme="majorBidi" w:hAnsiTheme="majorBidi" w:cstheme="majorBidi"/>
          <w:sz w:val="24"/>
          <w:szCs w:val="24"/>
        </w:rPr>
        <w:fldChar w:fldCharType="separate"/>
      </w:r>
      <w:r w:rsidR="00C1118E" w:rsidRPr="00C1118E">
        <w:rPr>
          <w:rFonts w:asciiTheme="majorBidi" w:hAnsiTheme="majorBidi" w:cstheme="majorBidi"/>
          <w:b/>
          <w:noProof/>
          <w:sz w:val="24"/>
          <w:szCs w:val="24"/>
        </w:rPr>
        <w:t>[17]</w:t>
      </w:r>
      <w:r w:rsidRPr="00BA1AA3">
        <w:rPr>
          <w:rFonts w:asciiTheme="majorBidi" w:hAnsiTheme="majorBidi" w:cstheme="majorBidi"/>
          <w:sz w:val="24"/>
          <w:szCs w:val="24"/>
        </w:rPr>
        <w:fldChar w:fldCharType="end"/>
      </w:r>
      <w:r w:rsidRPr="00BA1AA3">
        <w:rPr>
          <w:rFonts w:asciiTheme="majorBidi" w:hAnsiTheme="majorBidi" w:cstheme="majorBidi"/>
          <w:sz w:val="24"/>
          <w:szCs w:val="24"/>
        </w:rPr>
        <w:t xml:space="preserve"> stated that AST and ALP </w:t>
      </w:r>
      <w:r w:rsidR="00B615DB" w:rsidRPr="00BA1AA3">
        <w:rPr>
          <w:rFonts w:asciiTheme="majorBidi" w:hAnsiTheme="majorBidi" w:cstheme="majorBidi"/>
          <w:sz w:val="24"/>
          <w:szCs w:val="24"/>
        </w:rPr>
        <w:t>levels increase</w:t>
      </w:r>
      <w:r w:rsidR="006F2061" w:rsidRPr="00BA1AA3">
        <w:rPr>
          <w:rFonts w:asciiTheme="majorBidi" w:hAnsiTheme="majorBidi" w:cstheme="majorBidi"/>
          <w:sz w:val="24"/>
          <w:szCs w:val="24"/>
        </w:rPr>
        <w:t>d</w:t>
      </w:r>
      <w:r w:rsidR="00B615DB" w:rsidRPr="00BA1AA3">
        <w:rPr>
          <w:rFonts w:asciiTheme="majorBidi" w:hAnsiTheme="majorBidi" w:cstheme="majorBidi"/>
          <w:sz w:val="24"/>
          <w:szCs w:val="24"/>
        </w:rPr>
        <w:t xml:space="preserve"> progressively with increasing </w:t>
      </w:r>
      <w:r w:rsidR="006F2061" w:rsidRPr="00BA1AA3">
        <w:rPr>
          <w:rFonts w:asciiTheme="majorBidi" w:hAnsiTheme="majorBidi" w:cstheme="majorBidi"/>
          <w:sz w:val="24"/>
          <w:szCs w:val="24"/>
        </w:rPr>
        <w:t xml:space="preserve">infection </w:t>
      </w:r>
      <w:r w:rsidR="00B615DB" w:rsidRPr="00BA1AA3">
        <w:rPr>
          <w:rFonts w:asciiTheme="majorBidi" w:hAnsiTheme="majorBidi" w:cstheme="majorBidi"/>
          <w:sz w:val="24"/>
          <w:szCs w:val="24"/>
        </w:rPr>
        <w:t xml:space="preserve">severity however, </w:t>
      </w:r>
      <w:r w:rsidR="00B615DB" w:rsidRPr="00AF5787">
        <w:rPr>
          <w:rFonts w:asciiTheme="majorBidi" w:hAnsiTheme="majorBidi" w:cstheme="majorBidi"/>
          <w:color w:val="242021"/>
          <w:sz w:val="24"/>
          <w:szCs w:val="24"/>
        </w:rPr>
        <w:t>ALT</w:t>
      </w:r>
      <w:r w:rsidR="00B615DB" w:rsidRPr="00BA1AA3">
        <w:rPr>
          <w:rFonts w:asciiTheme="majorBidi" w:hAnsiTheme="majorBidi" w:cstheme="majorBidi"/>
          <w:sz w:val="24"/>
          <w:szCs w:val="24"/>
        </w:rPr>
        <w:t xml:space="preserve"> and total bilirubin were not increased</w:t>
      </w:r>
      <w:r w:rsidRPr="00BA1AA3">
        <w:rPr>
          <w:rFonts w:asciiTheme="majorBidi" w:hAnsiTheme="majorBidi" w:cstheme="majorBidi"/>
          <w:sz w:val="24"/>
          <w:szCs w:val="24"/>
        </w:rPr>
        <w:t xml:space="preserve"> suggest</w:t>
      </w:r>
      <w:r w:rsidR="00B615DB" w:rsidRPr="00BA1AA3">
        <w:rPr>
          <w:rFonts w:asciiTheme="majorBidi" w:hAnsiTheme="majorBidi" w:cstheme="majorBidi"/>
          <w:sz w:val="24"/>
          <w:szCs w:val="24"/>
        </w:rPr>
        <w:t>ing</w:t>
      </w:r>
      <w:r w:rsidRPr="00BA1AA3">
        <w:rPr>
          <w:rFonts w:asciiTheme="majorBidi" w:hAnsiTheme="majorBidi" w:cstheme="majorBidi"/>
          <w:sz w:val="24"/>
          <w:szCs w:val="24"/>
        </w:rPr>
        <w:t xml:space="preserve"> </w:t>
      </w:r>
      <w:r w:rsidR="006F2061" w:rsidRPr="00BA1AA3">
        <w:rPr>
          <w:rFonts w:asciiTheme="majorBidi" w:hAnsiTheme="majorBidi" w:cstheme="majorBidi"/>
          <w:sz w:val="24"/>
          <w:szCs w:val="24"/>
        </w:rPr>
        <w:t xml:space="preserve">that </w:t>
      </w:r>
      <w:r w:rsidRPr="00BA1AA3">
        <w:rPr>
          <w:rFonts w:asciiTheme="majorBidi" w:hAnsiTheme="majorBidi" w:cstheme="majorBidi"/>
          <w:sz w:val="24"/>
          <w:szCs w:val="24"/>
        </w:rPr>
        <w:t xml:space="preserve">AST and ALP values </w:t>
      </w:r>
      <w:r w:rsidR="008331D1" w:rsidRPr="00BA1AA3">
        <w:rPr>
          <w:rFonts w:asciiTheme="majorBidi" w:hAnsiTheme="majorBidi" w:cstheme="majorBidi"/>
          <w:sz w:val="24"/>
          <w:szCs w:val="24"/>
        </w:rPr>
        <w:t>wer</w:t>
      </w:r>
      <w:r w:rsidRPr="00BA1AA3">
        <w:rPr>
          <w:rFonts w:asciiTheme="majorBidi" w:hAnsiTheme="majorBidi" w:cstheme="majorBidi"/>
          <w:sz w:val="24"/>
          <w:szCs w:val="24"/>
        </w:rPr>
        <w:t xml:space="preserve">e indicative of </w:t>
      </w:r>
      <w:r w:rsidR="00F604B8" w:rsidRPr="00BA1AA3">
        <w:rPr>
          <w:rFonts w:asciiTheme="majorBidi" w:hAnsiTheme="majorBidi" w:cstheme="majorBidi"/>
          <w:sz w:val="24"/>
          <w:szCs w:val="24"/>
        </w:rPr>
        <w:t xml:space="preserve">disease </w:t>
      </w:r>
      <w:r w:rsidRPr="00BA1AA3">
        <w:rPr>
          <w:rFonts w:asciiTheme="majorBidi" w:hAnsiTheme="majorBidi" w:cstheme="majorBidi"/>
          <w:sz w:val="24"/>
          <w:szCs w:val="24"/>
        </w:rPr>
        <w:t>severity</w:t>
      </w:r>
      <w:r w:rsidR="00F604B8" w:rsidRPr="00BA1AA3">
        <w:rPr>
          <w:rFonts w:asciiTheme="majorBidi" w:hAnsiTheme="majorBidi" w:cstheme="majorBidi"/>
          <w:sz w:val="24"/>
          <w:szCs w:val="24"/>
        </w:rPr>
        <w:t>.</w:t>
      </w:r>
      <w:r w:rsidRPr="00BA1AA3">
        <w:rPr>
          <w:rFonts w:asciiTheme="majorBidi" w:hAnsiTheme="majorBidi" w:cstheme="majorBidi"/>
          <w:sz w:val="24"/>
          <w:szCs w:val="24"/>
        </w:rPr>
        <w:t xml:space="preserve"> </w:t>
      </w:r>
    </w:p>
    <w:p w14:paraId="28EB4E72" w14:textId="6EA880A1" w:rsidR="004130E1" w:rsidRPr="00BA1AA3" w:rsidRDefault="00900B90" w:rsidP="00C1118E">
      <w:pPr>
        <w:spacing w:before="120" w:after="0" w:line="360" w:lineRule="auto"/>
        <w:ind w:firstLine="720"/>
        <w:jc w:val="both"/>
        <w:rPr>
          <w:rFonts w:asciiTheme="majorBidi" w:hAnsiTheme="majorBidi" w:cstheme="majorBidi"/>
          <w:sz w:val="24"/>
          <w:szCs w:val="24"/>
        </w:rPr>
      </w:pPr>
      <w:r w:rsidRPr="00900B90">
        <w:rPr>
          <w:rFonts w:asciiTheme="majorBidi" w:hAnsiTheme="majorBidi" w:cstheme="majorBidi"/>
          <w:sz w:val="24"/>
          <w:szCs w:val="24"/>
        </w:rPr>
        <w:t>Increased numbers of patients requiring ICU care, longer hospital stays, and elevated liver enzyme and bilirubin levels have all been linked to the severity of COVID-19 infection. These findings highlight the critical role that immune-mediated systemic inflammation plays in liver impairment associated with severe cases of COVID-19 infection.</w:t>
      </w:r>
      <w:r w:rsidR="004130E1" w:rsidRPr="00BA1AA3">
        <w:rPr>
          <w:rFonts w:asciiTheme="majorBidi" w:hAnsiTheme="majorBidi" w:cstheme="majorBidi"/>
          <w:sz w:val="24"/>
          <w:szCs w:val="24"/>
        </w:rPr>
        <w:t xml:space="preserve"> </w:t>
      </w:r>
      <w:r w:rsidR="004130E1" w:rsidRPr="00BA1AA3">
        <w:rPr>
          <w:rFonts w:asciiTheme="majorBidi" w:hAnsiTheme="majorBidi" w:cstheme="majorBidi"/>
          <w:sz w:val="24"/>
          <w:szCs w:val="24"/>
        </w:rPr>
        <w:fldChar w:fldCharType="begin">
          <w:fldData xml:space="preserve">PEVuZE5vdGU+PENpdGU+PEF1dGhvcj5HdWFuPC9BdXRob3I+PFllYXI+MjAyMDwvWWVhcj48UmVj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</w:fldData>
        </w:fldChar>
      </w:r>
      <w:r w:rsidR="00C1118E">
        <w:rPr>
          <w:rFonts w:asciiTheme="majorBidi" w:hAnsiTheme="majorBidi" w:cstheme="majorBidi"/>
          <w:sz w:val="24"/>
          <w:szCs w:val="24"/>
        </w:rPr>
        <w:instrText xml:space="preserve"> ADDIN EN.CITE </w:instrText>
      </w:r>
      <w:r w:rsidR="00C1118E">
        <w:rPr>
          <w:rFonts w:asciiTheme="majorBidi" w:hAnsiTheme="majorBidi" w:cstheme="majorBidi"/>
          <w:sz w:val="24"/>
          <w:szCs w:val="24"/>
        </w:rPr>
        <w:fldChar w:fldCharType="begin">
          <w:fldData xml:space="preserve">PEVuZE5vdGU+PENpdGU+PEF1dGhvcj5HdWFuPC9BdXRob3I+PFllYXI+MjAyMDwvWWVhcj48UmVj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</w:fldData>
        </w:fldChar>
      </w:r>
      <w:r w:rsidR="00C1118E">
        <w:rPr>
          <w:rFonts w:asciiTheme="majorBidi" w:hAnsiTheme="majorBidi" w:cstheme="majorBidi"/>
          <w:sz w:val="24"/>
          <w:szCs w:val="24"/>
        </w:rPr>
        <w:instrText xml:space="preserve"> ADDIN EN.CITE.DATA </w:instrText>
      </w:r>
      <w:r w:rsidR="00C1118E">
        <w:rPr>
          <w:rFonts w:asciiTheme="majorBidi" w:hAnsiTheme="majorBidi" w:cstheme="majorBidi"/>
          <w:sz w:val="24"/>
          <w:szCs w:val="24"/>
        </w:rPr>
      </w:r>
      <w:r w:rsidR="00C1118E">
        <w:rPr>
          <w:rFonts w:asciiTheme="majorBidi" w:hAnsiTheme="majorBidi" w:cstheme="majorBidi"/>
          <w:sz w:val="24"/>
          <w:szCs w:val="24"/>
        </w:rPr>
        <w:fldChar w:fldCharType="end"/>
      </w:r>
      <w:r w:rsidR="004130E1" w:rsidRPr="00BA1AA3">
        <w:rPr>
          <w:rFonts w:asciiTheme="majorBidi" w:hAnsiTheme="majorBidi" w:cstheme="majorBidi"/>
          <w:sz w:val="24"/>
          <w:szCs w:val="24"/>
        </w:rPr>
      </w:r>
      <w:r w:rsidR="004130E1" w:rsidRPr="00BA1AA3">
        <w:rPr>
          <w:rFonts w:asciiTheme="majorBidi" w:hAnsiTheme="majorBidi" w:cstheme="majorBidi"/>
          <w:sz w:val="24"/>
          <w:szCs w:val="24"/>
        </w:rPr>
        <w:fldChar w:fldCharType="separate"/>
      </w:r>
      <w:r w:rsidR="00C1118E" w:rsidRPr="00C1118E">
        <w:rPr>
          <w:rFonts w:asciiTheme="majorBidi" w:hAnsiTheme="majorBidi" w:cstheme="majorBidi"/>
          <w:b/>
          <w:noProof/>
          <w:sz w:val="24"/>
          <w:szCs w:val="24"/>
        </w:rPr>
        <w:t>[8, 18-22]</w:t>
      </w:r>
      <w:r w:rsidR="004130E1" w:rsidRPr="00BA1AA3">
        <w:rPr>
          <w:rFonts w:asciiTheme="majorBidi" w:hAnsiTheme="majorBidi" w:cstheme="majorBidi"/>
          <w:sz w:val="24"/>
          <w:szCs w:val="24"/>
        </w:rPr>
        <w:fldChar w:fldCharType="end"/>
      </w:r>
      <w:r w:rsidR="004130E1" w:rsidRPr="00BA1AA3">
        <w:rPr>
          <w:rFonts w:asciiTheme="majorBidi" w:hAnsiTheme="majorBidi" w:cstheme="majorBidi"/>
          <w:sz w:val="24"/>
          <w:szCs w:val="24"/>
        </w:rPr>
        <w:t xml:space="preserve">  </w:t>
      </w:r>
    </w:p>
    <w:p w14:paraId="71A9E193" w14:textId="2097F928" w:rsidR="004130E1" w:rsidRPr="004130E1" w:rsidRDefault="004130E1" w:rsidP="00AF5787">
      <w:pPr>
        <w:spacing w:before="120" w:after="0" w:line="360" w:lineRule="auto"/>
        <w:ind w:firstLine="720"/>
        <w:jc w:val="both"/>
        <w:rPr>
          <w:rFonts w:asciiTheme="majorBidi" w:hAnsiTheme="majorBidi" w:cstheme="majorBidi"/>
          <w:sz w:val="24"/>
          <w:szCs w:val="24"/>
        </w:rPr>
      </w:pPr>
      <w:r w:rsidRPr="00BA1AA3">
        <w:rPr>
          <w:rFonts w:asciiTheme="majorBidi" w:hAnsiTheme="majorBidi" w:cstheme="majorBidi"/>
          <w:sz w:val="24"/>
          <w:szCs w:val="24"/>
        </w:rPr>
        <w:t xml:space="preserve">The main limitations in the current study included </w:t>
      </w:r>
      <w:r w:rsidR="007030E2" w:rsidRPr="00BA1AA3">
        <w:rPr>
          <w:rFonts w:asciiTheme="majorBidi" w:hAnsiTheme="majorBidi" w:cstheme="majorBidi"/>
          <w:sz w:val="24"/>
          <w:szCs w:val="24"/>
        </w:rPr>
        <w:t xml:space="preserve">a </w:t>
      </w:r>
      <w:r w:rsidRPr="00BA1AA3">
        <w:rPr>
          <w:rFonts w:asciiTheme="majorBidi" w:hAnsiTheme="majorBidi" w:cstheme="majorBidi"/>
          <w:sz w:val="24"/>
          <w:szCs w:val="24"/>
        </w:rPr>
        <w:t>small relatively sample size, no long</w:t>
      </w:r>
      <w:r w:rsidR="007030E2" w:rsidRPr="00BA1AA3">
        <w:rPr>
          <w:rFonts w:asciiTheme="majorBidi" w:hAnsiTheme="majorBidi" w:cstheme="majorBidi"/>
          <w:sz w:val="24"/>
          <w:szCs w:val="24"/>
        </w:rPr>
        <w:t>-</w:t>
      </w:r>
      <w:r w:rsidRPr="00BA1AA3">
        <w:rPr>
          <w:rFonts w:asciiTheme="majorBidi" w:hAnsiTheme="majorBidi" w:cstheme="majorBidi"/>
          <w:sz w:val="24"/>
          <w:szCs w:val="24"/>
        </w:rPr>
        <w:t>term follow, conducted in single center and we didn’t perform survival analysis of the studied groups. And yet, this is the first study that discussed such issue in our locality.</w:t>
      </w:r>
    </w:p>
    <w:p w14:paraId="13C7AE10" w14:textId="77777777" w:rsidR="00AF5787" w:rsidRDefault="00AF5787" w:rsidP="00AF5787">
      <w:pPr>
        <w:spacing w:before="120" w:after="0" w:line="360" w:lineRule="auto"/>
        <w:jc w:val="both"/>
        <w:rPr>
          <w:rFonts w:asciiTheme="majorBidi" w:eastAsia="Calibri" w:hAnsiTheme="majorBidi" w:cstheme="majorBidi"/>
          <w:b/>
          <w:bCs/>
          <w:sz w:val="24"/>
          <w:szCs w:val="24"/>
          <w:lang w:bidi="ar-EG"/>
        </w:rPr>
      </w:pPr>
    </w:p>
    <w:p w14:paraId="1D3FC701" w14:textId="77777777" w:rsidR="004130E1" w:rsidRPr="004130E1" w:rsidRDefault="004130E1" w:rsidP="00AF5787">
      <w:pPr>
        <w:spacing w:before="120" w:after="0" w:line="360" w:lineRule="auto"/>
        <w:jc w:val="both"/>
        <w:rPr>
          <w:rFonts w:asciiTheme="majorBidi" w:eastAsia="Calibri" w:hAnsiTheme="majorBidi" w:cstheme="majorBidi"/>
          <w:b/>
          <w:bCs/>
          <w:sz w:val="24"/>
          <w:szCs w:val="24"/>
          <w:lang w:bidi="ar-EG"/>
        </w:rPr>
      </w:pPr>
      <w:r w:rsidRPr="004130E1">
        <w:rPr>
          <w:rFonts w:asciiTheme="majorBidi" w:eastAsia="Calibri" w:hAnsiTheme="majorBidi" w:cstheme="majorBidi"/>
          <w:b/>
          <w:bCs/>
          <w:sz w:val="24"/>
          <w:szCs w:val="24"/>
          <w:lang w:bidi="ar-EG"/>
        </w:rPr>
        <w:t xml:space="preserve">Conclusion </w:t>
      </w:r>
    </w:p>
    <w:p w14:paraId="3ACD90BF" w14:textId="1893C2BE" w:rsidR="002F1AF5" w:rsidRDefault="004130E1" w:rsidP="002F1AF5">
      <w:pPr>
        <w:spacing w:before="120" w:after="0" w:line="360" w:lineRule="auto"/>
        <w:ind w:firstLine="720"/>
        <w:jc w:val="both"/>
        <w:rPr>
          <w:rFonts w:asciiTheme="majorBidi" w:eastAsia="Calibri" w:hAnsiTheme="majorBidi" w:cstheme="majorBidi"/>
          <w:sz w:val="24"/>
          <w:szCs w:val="24"/>
          <w:lang w:bidi="ar-EG"/>
        </w:rPr>
      </w:pPr>
      <w:r w:rsidRPr="004130E1">
        <w:rPr>
          <w:rFonts w:asciiTheme="majorBidi" w:eastAsia="Calibri" w:hAnsiTheme="majorBidi" w:cstheme="majorBidi"/>
          <w:sz w:val="24"/>
          <w:szCs w:val="24"/>
          <w:lang w:bidi="ar-EG"/>
        </w:rPr>
        <w:t xml:space="preserve">Severe infection, and prolonged hospital/ICU stay were higher in COVID19 patients with underling CLD. </w:t>
      </w:r>
      <w:r w:rsidRPr="00AF5787">
        <w:rPr>
          <w:rFonts w:asciiTheme="majorBidi" w:hAnsiTheme="majorBidi" w:cstheme="majorBidi"/>
          <w:color w:val="242021"/>
          <w:sz w:val="24"/>
          <w:szCs w:val="24"/>
        </w:rPr>
        <w:t>Monitoring</w:t>
      </w:r>
      <w:r w:rsidRPr="004130E1">
        <w:rPr>
          <w:rFonts w:asciiTheme="majorBidi" w:eastAsia="Calibri" w:hAnsiTheme="majorBidi" w:cstheme="majorBidi"/>
          <w:sz w:val="24"/>
          <w:szCs w:val="24"/>
          <w:lang w:bidi="ar-EG"/>
        </w:rPr>
        <w:t xml:space="preserve"> of those high risk patients and tailoring of their therapeutic approaches is a matter of worry increasing their diagnostic and therapeutic burden</w:t>
      </w:r>
      <w:r w:rsidR="002F1AF5">
        <w:rPr>
          <w:rFonts w:asciiTheme="majorBidi" w:eastAsia="Calibri" w:hAnsiTheme="majorBidi" w:cstheme="majorBidi"/>
          <w:sz w:val="24"/>
          <w:szCs w:val="24"/>
          <w:lang w:bidi="ar-EG"/>
        </w:rPr>
        <w:t>.</w:t>
      </w:r>
    </w:p>
    <w:p w14:paraId="6EEF4C49" w14:textId="25201450" w:rsidR="002F1AF5" w:rsidRDefault="002F1AF5" w:rsidP="00AF5787">
      <w:pPr>
        <w:spacing w:before="120" w:after="0" w:line="360" w:lineRule="auto"/>
        <w:ind w:firstLine="720"/>
        <w:jc w:val="both"/>
        <w:rPr>
          <w:rFonts w:asciiTheme="majorBidi" w:eastAsia="Calibri" w:hAnsiTheme="majorBidi" w:cstheme="majorBidi"/>
          <w:sz w:val="24"/>
          <w:szCs w:val="24"/>
          <w:lang w:bidi="ar-EG"/>
        </w:rPr>
      </w:pPr>
      <w:r w:rsidRPr="002F1AF5">
        <w:rPr>
          <w:rFonts w:asciiTheme="majorBidi" w:eastAsia="Calibri" w:hAnsiTheme="majorBidi" w:cstheme="majorBidi"/>
          <w:sz w:val="24"/>
          <w:szCs w:val="24"/>
          <w:highlight w:val="yellow"/>
          <w:lang w:bidi="ar-EG"/>
        </w:rPr>
        <w:t>Patients with underlying comorbidity may have serious outcome and hepatic comorbidity is an important one of these comorbidities</w:t>
      </w:r>
      <w:r w:rsidRPr="002F1AF5">
        <w:rPr>
          <w:rFonts w:asciiTheme="majorBidi" w:eastAsia="Calibri" w:hAnsiTheme="majorBidi" w:cstheme="majorBidi"/>
          <w:sz w:val="24"/>
          <w:szCs w:val="24"/>
          <w:highlight w:val="yellow"/>
          <w:lang w:bidi="ar-EG"/>
        </w:rPr>
        <w:t xml:space="preserve"> and this representing the outcome of this study.</w:t>
      </w:r>
    </w:p>
    <w:p w14:paraId="20BBB5B2" w14:textId="77777777" w:rsidR="0061405A" w:rsidRPr="0061405A" w:rsidRDefault="0061405A" w:rsidP="0061405A">
      <w:pPr>
        <w:spacing w:before="120" w:after="0" w:line="360" w:lineRule="auto"/>
        <w:jc w:val="both"/>
        <w:rPr>
          <w:rFonts w:asciiTheme="majorBidi" w:eastAsia="Calibri" w:hAnsiTheme="majorBidi" w:cstheme="majorBidi"/>
          <w:b/>
          <w:bCs/>
          <w:sz w:val="24"/>
          <w:szCs w:val="24"/>
          <w:rtl/>
          <w:lang w:bidi="ar-EG"/>
        </w:rPr>
      </w:pPr>
      <w:r w:rsidRPr="0061405A">
        <w:rPr>
          <w:rFonts w:asciiTheme="majorBidi" w:eastAsia="Calibri" w:hAnsiTheme="majorBidi" w:cstheme="majorBidi"/>
          <w:b/>
          <w:bCs/>
          <w:sz w:val="24"/>
          <w:szCs w:val="24"/>
          <w:lang w:bidi="ar-EG"/>
        </w:rPr>
        <w:t>Research highlights</w:t>
      </w:r>
    </w:p>
    <w:p w14:paraId="28735C45" w14:textId="77777777" w:rsidR="0061405A" w:rsidRPr="0061405A" w:rsidRDefault="0061405A" w:rsidP="0061405A">
      <w:pPr>
        <w:numPr>
          <w:ilvl w:val="0"/>
          <w:numId w:val="4"/>
        </w:numPr>
        <w:spacing w:before="120" w:after="0" w:line="360" w:lineRule="auto"/>
        <w:jc w:val="both"/>
        <w:rPr>
          <w:rFonts w:asciiTheme="majorBidi" w:eastAsia="Calibri" w:hAnsiTheme="majorBidi" w:cstheme="majorBidi"/>
          <w:b/>
          <w:bCs/>
          <w:sz w:val="24"/>
          <w:szCs w:val="24"/>
          <w:rtl/>
          <w:lang w:bidi="ar-EG"/>
        </w:rPr>
      </w:pPr>
      <w:r w:rsidRPr="0061405A">
        <w:rPr>
          <w:rFonts w:asciiTheme="majorBidi" w:eastAsia="Calibri" w:hAnsiTheme="majorBidi" w:cstheme="majorBidi"/>
          <w:b/>
          <w:bCs/>
          <w:sz w:val="24"/>
          <w:szCs w:val="24"/>
          <w:lang w:bidi="ar-EG"/>
        </w:rPr>
        <w:t>COVID19 is a serious problem pandemic since 2020.</w:t>
      </w:r>
    </w:p>
    <w:p w14:paraId="6CA7993B" w14:textId="77777777" w:rsidR="0061405A" w:rsidRPr="0061405A" w:rsidRDefault="0061405A" w:rsidP="0061405A">
      <w:pPr>
        <w:numPr>
          <w:ilvl w:val="0"/>
          <w:numId w:val="4"/>
        </w:numPr>
        <w:spacing w:before="120" w:after="0" w:line="360" w:lineRule="auto"/>
        <w:jc w:val="both"/>
        <w:rPr>
          <w:rFonts w:asciiTheme="majorBidi" w:eastAsia="Calibri" w:hAnsiTheme="majorBidi" w:cstheme="majorBidi"/>
          <w:b/>
          <w:bCs/>
          <w:sz w:val="24"/>
          <w:szCs w:val="24"/>
          <w:rtl/>
          <w:lang w:bidi="ar-EG"/>
        </w:rPr>
      </w:pPr>
      <w:r w:rsidRPr="0061405A">
        <w:rPr>
          <w:rFonts w:asciiTheme="majorBidi" w:eastAsia="Calibri" w:hAnsiTheme="majorBidi" w:cstheme="majorBidi"/>
          <w:b/>
          <w:bCs/>
          <w:sz w:val="24"/>
          <w:szCs w:val="24"/>
          <w:lang w:bidi="ar-EG"/>
        </w:rPr>
        <w:t>Patient with underlying comorbidity may have serious outcome.</w:t>
      </w:r>
    </w:p>
    <w:p w14:paraId="74AE684A" w14:textId="77777777" w:rsidR="0061405A" w:rsidRPr="0061405A" w:rsidRDefault="0061405A" w:rsidP="0061405A">
      <w:pPr>
        <w:numPr>
          <w:ilvl w:val="0"/>
          <w:numId w:val="4"/>
        </w:numPr>
        <w:spacing w:before="120" w:after="0" w:line="360" w:lineRule="auto"/>
        <w:jc w:val="both"/>
        <w:rPr>
          <w:rFonts w:asciiTheme="majorBidi" w:eastAsia="Calibri" w:hAnsiTheme="majorBidi" w:cstheme="majorBidi"/>
          <w:b/>
          <w:bCs/>
          <w:sz w:val="24"/>
          <w:szCs w:val="24"/>
          <w:lang w:bidi="ar-EG"/>
        </w:rPr>
      </w:pPr>
      <w:r w:rsidRPr="0061405A">
        <w:rPr>
          <w:rFonts w:asciiTheme="majorBidi" w:eastAsia="Calibri" w:hAnsiTheme="majorBidi" w:cstheme="majorBidi"/>
          <w:b/>
          <w:bCs/>
          <w:sz w:val="24"/>
          <w:szCs w:val="24"/>
          <w:lang w:bidi="ar-EG"/>
        </w:rPr>
        <w:t>Hepatic comorbidity is one of the comorbidities that may have serious outcome.</w:t>
      </w:r>
    </w:p>
    <w:p w14:paraId="216071DC" w14:textId="77777777" w:rsidR="0061405A" w:rsidRPr="004130E1" w:rsidRDefault="0061405A" w:rsidP="00AF5787">
      <w:pPr>
        <w:spacing w:before="120" w:after="0" w:line="360" w:lineRule="auto"/>
        <w:ind w:firstLine="720"/>
        <w:jc w:val="both"/>
        <w:rPr>
          <w:rFonts w:asciiTheme="majorBidi" w:eastAsia="Calibri" w:hAnsiTheme="majorBidi" w:cstheme="majorBidi"/>
          <w:b/>
          <w:bCs/>
          <w:sz w:val="24"/>
          <w:szCs w:val="24"/>
          <w:lang w:bidi="ar-EG"/>
        </w:rPr>
      </w:pPr>
    </w:p>
    <w:p w14:paraId="57651420" w14:textId="0CC7CE52" w:rsidR="00321E38" w:rsidRPr="00AF5787" w:rsidRDefault="00213E06" w:rsidP="00AF5787">
      <w:pPr>
        <w:spacing w:before="120" w:after="0" w:line="360" w:lineRule="auto"/>
        <w:jc w:val="both"/>
        <w:rPr>
          <w:rFonts w:asciiTheme="majorBidi" w:eastAsia="Calibri" w:hAnsiTheme="majorBidi" w:cstheme="majorBidi"/>
          <w:b/>
          <w:bCs/>
          <w:sz w:val="24"/>
          <w:szCs w:val="24"/>
          <w:lang w:bidi="ar-EG"/>
        </w:rPr>
      </w:pPr>
      <w:r w:rsidRPr="00AF5787">
        <w:rPr>
          <w:rFonts w:asciiTheme="majorBidi" w:eastAsia="Calibri" w:hAnsiTheme="majorBidi" w:cstheme="majorBidi"/>
          <w:b/>
          <w:bCs/>
          <w:sz w:val="24"/>
          <w:szCs w:val="24"/>
          <w:lang w:bidi="ar-EG"/>
        </w:rPr>
        <w:t>Reference</w:t>
      </w:r>
      <w:r w:rsidR="00FE76F9" w:rsidRPr="00AF5787">
        <w:rPr>
          <w:rFonts w:asciiTheme="majorBidi" w:eastAsia="Calibri" w:hAnsiTheme="majorBidi" w:cstheme="majorBidi"/>
          <w:b/>
          <w:bCs/>
          <w:sz w:val="24"/>
          <w:szCs w:val="24"/>
          <w:lang w:bidi="ar-EG"/>
        </w:rPr>
        <w:t>:</w:t>
      </w:r>
    </w:p>
    <w:bookmarkStart w:id="2" w:name="_Hlk152374722"/>
    <w:p w14:paraId="347B8968" w14:textId="77777777" w:rsidR="00C1118E" w:rsidRPr="00C1118E" w:rsidRDefault="00DE5A4A" w:rsidP="00C1118E">
      <w:pPr>
        <w:pStyle w:val="EndNoteBibliography"/>
        <w:spacing w:after="0"/>
      </w:pPr>
      <w:r w:rsidRPr="00AF5787">
        <w:rPr>
          <w:rFonts w:asciiTheme="majorBidi" w:hAnsiTheme="majorBidi" w:cstheme="majorBidi"/>
          <w:sz w:val="24"/>
          <w:szCs w:val="24"/>
        </w:rPr>
        <w:fldChar w:fldCharType="begin"/>
      </w:r>
      <w:r w:rsidRPr="00AF5787">
        <w:rPr>
          <w:rFonts w:asciiTheme="majorBidi" w:hAnsiTheme="majorBidi" w:cstheme="majorBidi"/>
          <w:sz w:val="24"/>
          <w:szCs w:val="24"/>
        </w:rPr>
        <w:instrText xml:space="preserve"> ADDIN EN.REFLIST </w:instrText>
      </w:r>
      <w:r w:rsidRPr="00AF5787">
        <w:rPr>
          <w:rFonts w:asciiTheme="majorBidi" w:hAnsiTheme="majorBidi" w:cstheme="majorBidi"/>
          <w:sz w:val="24"/>
          <w:szCs w:val="24"/>
        </w:rPr>
        <w:fldChar w:fldCharType="separate"/>
      </w:r>
      <w:r w:rsidR="00C1118E" w:rsidRPr="00C1118E">
        <w:rPr>
          <w:b/>
        </w:rPr>
        <w:t>[1]</w:t>
      </w:r>
      <w:r w:rsidR="00C1118E" w:rsidRPr="00C1118E">
        <w:rPr>
          <w:b/>
        </w:rPr>
        <w:tab/>
      </w:r>
      <w:r w:rsidR="00C1118E" w:rsidRPr="00C1118E">
        <w:rPr>
          <w:b/>
          <w:i/>
        </w:rPr>
        <w:t xml:space="preserve">Shereen MA, Khan S, Kazmi A, Bashir N, Siddique R. </w:t>
      </w:r>
      <w:r w:rsidR="00C1118E" w:rsidRPr="00C1118E">
        <w:t xml:space="preserve">COVID-19 infection: Emergence, transmission, and characteristics of human coronaviruses. </w:t>
      </w:r>
      <w:r w:rsidR="00C1118E" w:rsidRPr="00C1118E">
        <w:rPr>
          <w:i/>
        </w:rPr>
        <w:t>Journal of advanced research</w:t>
      </w:r>
      <w:r w:rsidR="00C1118E" w:rsidRPr="00C1118E">
        <w:t>. 2020;24:91-8.</w:t>
      </w:r>
    </w:p>
    <w:p w14:paraId="4BD8BFA0" w14:textId="77777777" w:rsidR="00C1118E" w:rsidRPr="00C1118E" w:rsidRDefault="00C1118E" w:rsidP="00C1118E">
      <w:pPr>
        <w:pStyle w:val="EndNoteBibliography"/>
        <w:spacing w:after="0"/>
      </w:pPr>
      <w:r w:rsidRPr="00C1118E">
        <w:rPr>
          <w:b/>
        </w:rPr>
        <w:t>[2]</w:t>
      </w:r>
      <w:r w:rsidRPr="00C1118E">
        <w:rPr>
          <w:b/>
        </w:rPr>
        <w:tab/>
      </w:r>
      <w:r w:rsidRPr="00C1118E">
        <w:rPr>
          <w:b/>
          <w:i/>
        </w:rPr>
        <w:t xml:space="preserve">Patil S, Narkar S, Dahiphale J, Raka V, Choudhari S, Gondhali G. </w:t>
      </w:r>
      <w:r w:rsidRPr="00C1118E">
        <w:t xml:space="preserve">Long COVID symptoms, pathophysiology and possible mechanisms: Still, we are learning. </w:t>
      </w:r>
      <w:r w:rsidRPr="00C1118E">
        <w:rPr>
          <w:i/>
        </w:rPr>
        <w:t>World Journal of Advanced Pharmaceutical and Medical Research</w:t>
      </w:r>
      <w:r w:rsidRPr="00C1118E">
        <w:t>. 2023;4(01):053-65.</w:t>
      </w:r>
    </w:p>
    <w:p w14:paraId="604EC1CC" w14:textId="77777777" w:rsidR="00C1118E" w:rsidRPr="00C1118E" w:rsidRDefault="00C1118E" w:rsidP="00C1118E">
      <w:pPr>
        <w:pStyle w:val="EndNoteBibliography"/>
        <w:spacing w:after="0"/>
      </w:pPr>
      <w:r w:rsidRPr="00C1118E">
        <w:rPr>
          <w:b/>
        </w:rPr>
        <w:t>[3]</w:t>
      </w:r>
      <w:r w:rsidRPr="00C1118E">
        <w:rPr>
          <w:b/>
        </w:rPr>
        <w:tab/>
      </w:r>
      <w:r w:rsidRPr="00C1118E">
        <w:rPr>
          <w:b/>
          <w:i/>
        </w:rPr>
        <w:t xml:space="preserve">Raveendran A, Jayadevan R, Sashidharan S. </w:t>
      </w:r>
      <w:r w:rsidRPr="00C1118E">
        <w:t xml:space="preserve">Long COVID: an overview. </w:t>
      </w:r>
      <w:r w:rsidRPr="00C1118E">
        <w:rPr>
          <w:i/>
        </w:rPr>
        <w:t>Diabetes &amp; Metabolic Syndrome: Clinical Research &amp; Reviews</w:t>
      </w:r>
      <w:r w:rsidRPr="00C1118E">
        <w:t>. 2021;15(3):869-75.</w:t>
      </w:r>
    </w:p>
    <w:p w14:paraId="52740F8D" w14:textId="77777777" w:rsidR="00C1118E" w:rsidRPr="00C1118E" w:rsidRDefault="00C1118E" w:rsidP="00C1118E">
      <w:pPr>
        <w:pStyle w:val="EndNoteBibliography"/>
        <w:spacing w:after="0"/>
      </w:pPr>
      <w:r w:rsidRPr="00C1118E">
        <w:rPr>
          <w:b/>
        </w:rPr>
        <w:t>[4]</w:t>
      </w:r>
      <w:r w:rsidRPr="00C1118E">
        <w:rPr>
          <w:b/>
        </w:rPr>
        <w:tab/>
      </w:r>
      <w:r w:rsidRPr="00C1118E">
        <w:rPr>
          <w:b/>
          <w:i/>
        </w:rPr>
        <w:t xml:space="preserve">Shah A, Bhattad D. </w:t>
      </w:r>
      <w:r w:rsidRPr="00C1118E">
        <w:t xml:space="preserve">Immediate and short-term prevalence of depression in covid-19 patients and its correlation with continued symptoms experience. </w:t>
      </w:r>
      <w:r w:rsidRPr="00C1118E">
        <w:rPr>
          <w:i/>
        </w:rPr>
        <w:t>Indian Journal of Psychiatry</w:t>
      </w:r>
      <w:r w:rsidRPr="00C1118E">
        <w:t>. 2022;64(3):301.</w:t>
      </w:r>
    </w:p>
    <w:p w14:paraId="469102C4" w14:textId="77777777" w:rsidR="00C1118E" w:rsidRPr="001842C1" w:rsidRDefault="00C1118E" w:rsidP="00C1118E">
      <w:pPr>
        <w:pStyle w:val="EndNoteBibliography"/>
        <w:spacing w:after="0"/>
        <w:rPr>
          <w:lang w:val="fr-FR"/>
        </w:rPr>
      </w:pPr>
      <w:r w:rsidRPr="00C1118E">
        <w:rPr>
          <w:b/>
        </w:rPr>
        <w:t>[5]</w:t>
      </w:r>
      <w:r w:rsidRPr="00C1118E">
        <w:rPr>
          <w:b/>
        </w:rPr>
        <w:tab/>
      </w:r>
      <w:r w:rsidRPr="00C1118E">
        <w:rPr>
          <w:b/>
          <w:i/>
        </w:rPr>
        <w:t xml:space="preserve">Bajaj JS, Garcia-Tsao G, Biggins SW, Kamath PS, Wong F, McGeorge S, et al. </w:t>
      </w:r>
      <w:r w:rsidRPr="00C1118E">
        <w:t xml:space="preserve">Comparison of mortality risk in patients with cirrhosis and COVID-19 compared with patients with cirrhosis alone and COVID-19 alone: multicentre matched cohort. </w:t>
      </w:r>
      <w:r w:rsidRPr="001842C1">
        <w:rPr>
          <w:i/>
          <w:lang w:val="fr-FR"/>
        </w:rPr>
        <w:t>Gut</w:t>
      </w:r>
      <w:r w:rsidRPr="001842C1">
        <w:rPr>
          <w:lang w:val="fr-FR"/>
        </w:rPr>
        <w:t>. 2021;70(3):531-6.</w:t>
      </w:r>
    </w:p>
    <w:p w14:paraId="33DEEB45" w14:textId="77777777" w:rsidR="00C1118E" w:rsidRPr="00C1118E" w:rsidRDefault="00C1118E" w:rsidP="00C1118E">
      <w:pPr>
        <w:pStyle w:val="EndNoteBibliography"/>
        <w:spacing w:after="0"/>
      </w:pPr>
      <w:r w:rsidRPr="001842C1">
        <w:rPr>
          <w:b/>
          <w:lang w:val="fr-FR"/>
        </w:rPr>
        <w:t>[6]</w:t>
      </w:r>
      <w:r w:rsidRPr="001842C1">
        <w:rPr>
          <w:b/>
          <w:lang w:val="fr-FR"/>
        </w:rPr>
        <w:tab/>
      </w:r>
      <w:r w:rsidRPr="001842C1">
        <w:rPr>
          <w:b/>
          <w:i/>
          <w:lang w:val="fr-FR"/>
        </w:rPr>
        <w:t xml:space="preserve">Zu ZY, Jiang MD, Xu PP, Chen W, Ni QQ, Lu GM, et al. </w:t>
      </w:r>
      <w:r w:rsidRPr="00C1118E">
        <w:t xml:space="preserve">Coronavirus disease 2019 (COVID-19): a perspective from China. </w:t>
      </w:r>
      <w:r w:rsidRPr="00C1118E">
        <w:rPr>
          <w:i/>
        </w:rPr>
        <w:t>Radiology</w:t>
      </w:r>
      <w:r w:rsidRPr="00C1118E">
        <w:t>. 2020;296(2):E15-E25.</w:t>
      </w:r>
    </w:p>
    <w:p w14:paraId="09955908" w14:textId="77777777" w:rsidR="00C1118E" w:rsidRPr="00C1118E" w:rsidRDefault="00C1118E" w:rsidP="00C1118E">
      <w:pPr>
        <w:pStyle w:val="EndNoteBibliography"/>
        <w:spacing w:after="0"/>
      </w:pPr>
      <w:r w:rsidRPr="00C1118E">
        <w:rPr>
          <w:b/>
        </w:rPr>
        <w:t>[7]</w:t>
      </w:r>
      <w:r w:rsidRPr="00C1118E">
        <w:rPr>
          <w:b/>
        </w:rPr>
        <w:tab/>
      </w:r>
      <w:r w:rsidRPr="00C1118E">
        <w:rPr>
          <w:b/>
          <w:i/>
        </w:rPr>
        <w:t xml:space="preserve">Mao R, Liang J, Shen J, Ghosh S, Zhu L-R, Yang H, et al. </w:t>
      </w:r>
      <w:r w:rsidRPr="00C1118E">
        <w:t xml:space="preserve">Implications of COVID-19 for patients with pre-existing digestive diseases. </w:t>
      </w:r>
      <w:r w:rsidRPr="00C1118E">
        <w:rPr>
          <w:i/>
        </w:rPr>
        <w:t>The lancet Gastroenterology &amp; hepatology</w:t>
      </w:r>
      <w:r w:rsidRPr="00C1118E">
        <w:t>. 2020;5(5):425-7.</w:t>
      </w:r>
    </w:p>
    <w:p w14:paraId="4C92D4C6" w14:textId="77777777" w:rsidR="00C1118E" w:rsidRPr="00C1118E" w:rsidRDefault="00C1118E" w:rsidP="00C1118E">
      <w:pPr>
        <w:pStyle w:val="EndNoteBibliography"/>
        <w:spacing w:after="0"/>
      </w:pPr>
      <w:r w:rsidRPr="00C1118E">
        <w:rPr>
          <w:b/>
        </w:rPr>
        <w:t>[8]</w:t>
      </w:r>
      <w:r w:rsidRPr="00C1118E">
        <w:rPr>
          <w:b/>
        </w:rPr>
        <w:tab/>
      </w:r>
      <w:r w:rsidRPr="00C1118E">
        <w:rPr>
          <w:b/>
          <w:i/>
        </w:rPr>
        <w:t xml:space="preserve">Guan W-j, Ni Z-y, Hu Y, Liang W-h, Ou C-q, He J-x, et al. </w:t>
      </w:r>
      <w:r w:rsidRPr="00C1118E">
        <w:t xml:space="preserve">Clinical characteristics of coronavirus disease 2019 in China. </w:t>
      </w:r>
      <w:r w:rsidRPr="00C1118E">
        <w:rPr>
          <w:i/>
        </w:rPr>
        <w:t>New England journal of medicine</w:t>
      </w:r>
      <w:r w:rsidRPr="00C1118E">
        <w:t>. 2020;382(18):1708-20.</w:t>
      </w:r>
    </w:p>
    <w:p w14:paraId="12B39246" w14:textId="77777777" w:rsidR="00C1118E" w:rsidRPr="00C1118E" w:rsidRDefault="00C1118E" w:rsidP="00C1118E">
      <w:pPr>
        <w:pStyle w:val="EndNoteBibliography"/>
        <w:spacing w:after="0"/>
      </w:pPr>
      <w:r w:rsidRPr="00C1118E">
        <w:rPr>
          <w:b/>
        </w:rPr>
        <w:lastRenderedPageBreak/>
        <w:t>[9]</w:t>
      </w:r>
      <w:r w:rsidRPr="00C1118E">
        <w:rPr>
          <w:b/>
        </w:rPr>
        <w:tab/>
      </w:r>
      <w:r w:rsidRPr="00C1118E">
        <w:rPr>
          <w:b/>
          <w:i/>
        </w:rPr>
        <w:t xml:space="preserve">Ambrus C, Bakos É, Sarkadi B, Özvegy-Laczka C, Telbisz Á. </w:t>
      </w:r>
      <w:r w:rsidRPr="00C1118E">
        <w:t xml:space="preserve">Interactions of anti-COVID-19 drug candidates with hepatic transporters may cause liver toxicity and affect pharmacokinetics. </w:t>
      </w:r>
      <w:r w:rsidRPr="00C1118E">
        <w:rPr>
          <w:i/>
        </w:rPr>
        <w:t>Scientific Reports</w:t>
      </w:r>
      <w:r w:rsidRPr="00C1118E">
        <w:t>. 2021;11(1):1-10.</w:t>
      </w:r>
    </w:p>
    <w:p w14:paraId="13782879" w14:textId="77777777" w:rsidR="00C1118E" w:rsidRPr="00C1118E" w:rsidRDefault="00C1118E" w:rsidP="00C1118E">
      <w:pPr>
        <w:pStyle w:val="EndNoteBibliography"/>
        <w:spacing w:after="0"/>
      </w:pPr>
      <w:r w:rsidRPr="00C1118E">
        <w:rPr>
          <w:b/>
        </w:rPr>
        <w:t>[10]</w:t>
      </w:r>
      <w:r w:rsidRPr="00C1118E">
        <w:rPr>
          <w:b/>
        </w:rPr>
        <w:tab/>
      </w:r>
      <w:r w:rsidRPr="00C1118E">
        <w:rPr>
          <w:b/>
          <w:i/>
        </w:rPr>
        <w:t xml:space="preserve">Abd El Rhman MM, Shafik NS, Maher A, Hemdan SB, Abd Elhamid RM. </w:t>
      </w:r>
      <w:r w:rsidRPr="00C1118E">
        <w:t xml:space="preserve">Liver Involvement in COVID-19 infected patients. </w:t>
      </w:r>
      <w:r w:rsidRPr="00C1118E">
        <w:rPr>
          <w:i/>
        </w:rPr>
        <w:t>Sohag Medical Journal</w:t>
      </w:r>
      <w:r w:rsidRPr="00C1118E">
        <w:t>. 2020;24(2):15-9.</w:t>
      </w:r>
    </w:p>
    <w:p w14:paraId="34E360A1" w14:textId="77777777" w:rsidR="00C1118E" w:rsidRPr="00C1118E" w:rsidRDefault="00C1118E" w:rsidP="00C1118E">
      <w:pPr>
        <w:pStyle w:val="EndNoteBibliography"/>
        <w:spacing w:after="0"/>
      </w:pPr>
      <w:r w:rsidRPr="00C1118E">
        <w:rPr>
          <w:b/>
        </w:rPr>
        <w:t>[11]</w:t>
      </w:r>
      <w:r w:rsidRPr="00C1118E">
        <w:rPr>
          <w:b/>
        </w:rPr>
        <w:tab/>
      </w:r>
      <w:r w:rsidRPr="00C1118E">
        <w:rPr>
          <w:b/>
          <w:i/>
        </w:rPr>
        <w:t xml:space="preserve">Oyelade T, Alqahtani J, Canciani G. </w:t>
      </w:r>
      <w:r w:rsidRPr="00C1118E">
        <w:t xml:space="preserve">Prognosis of COVID-19 in patients with liver and kidney diseases: an early systematic review and meta-analysis. </w:t>
      </w:r>
      <w:r w:rsidRPr="00C1118E">
        <w:rPr>
          <w:i/>
        </w:rPr>
        <w:t>Tropical medicine and infectious disease</w:t>
      </w:r>
      <w:r w:rsidRPr="00C1118E">
        <w:t>. 2020;5(2):80.</w:t>
      </w:r>
    </w:p>
    <w:p w14:paraId="77D14848" w14:textId="77777777" w:rsidR="00C1118E" w:rsidRPr="00C1118E" w:rsidRDefault="00C1118E" w:rsidP="00C1118E">
      <w:pPr>
        <w:pStyle w:val="EndNoteBibliography"/>
        <w:spacing w:after="0"/>
      </w:pPr>
      <w:r w:rsidRPr="00C1118E">
        <w:rPr>
          <w:b/>
        </w:rPr>
        <w:t>[12]</w:t>
      </w:r>
      <w:r w:rsidRPr="00C1118E">
        <w:rPr>
          <w:b/>
        </w:rPr>
        <w:tab/>
      </w:r>
      <w:r w:rsidRPr="00C1118E">
        <w:rPr>
          <w:b/>
          <w:i/>
        </w:rPr>
        <w:t xml:space="preserve">Cai Q, Huang D, Yu H, Zhu Z, Xia Z, Su Y, et al. </w:t>
      </w:r>
      <w:r w:rsidRPr="00C1118E">
        <w:t xml:space="preserve">COVID-19: Abnormal liver function tests. </w:t>
      </w:r>
      <w:r w:rsidRPr="00C1118E">
        <w:rPr>
          <w:i/>
        </w:rPr>
        <w:t>Journal of hepatology</w:t>
      </w:r>
      <w:r w:rsidRPr="00C1118E">
        <w:t>. 2020;73(3):566-74.</w:t>
      </w:r>
    </w:p>
    <w:p w14:paraId="5D40A60E" w14:textId="77777777" w:rsidR="00C1118E" w:rsidRPr="00C1118E" w:rsidRDefault="00C1118E" w:rsidP="00C1118E">
      <w:pPr>
        <w:pStyle w:val="EndNoteBibliography"/>
        <w:spacing w:after="0"/>
      </w:pPr>
      <w:r w:rsidRPr="00C1118E">
        <w:rPr>
          <w:b/>
        </w:rPr>
        <w:t>[13]</w:t>
      </w:r>
      <w:r w:rsidRPr="00C1118E">
        <w:rPr>
          <w:b/>
        </w:rPr>
        <w:tab/>
      </w:r>
      <w:r w:rsidRPr="00C1118E">
        <w:rPr>
          <w:b/>
          <w:i/>
        </w:rPr>
        <w:t xml:space="preserve">Lippi G, De Oliveira MHS, Henry BM. </w:t>
      </w:r>
      <w:r w:rsidRPr="00C1118E">
        <w:t xml:space="preserve">Chronic liver disease is not associated with severity or mortality in Coronavirus disease 2019 (COVID-19): a pooled analysis. </w:t>
      </w:r>
      <w:r w:rsidRPr="00C1118E">
        <w:rPr>
          <w:i/>
        </w:rPr>
        <w:t>European Journal of Gastroenterology &amp; Hepatology</w:t>
      </w:r>
      <w:r w:rsidRPr="00C1118E">
        <w:t>. 2020.</w:t>
      </w:r>
    </w:p>
    <w:p w14:paraId="218B61AE" w14:textId="77777777" w:rsidR="00C1118E" w:rsidRPr="00C1118E" w:rsidRDefault="00C1118E" w:rsidP="00C1118E">
      <w:pPr>
        <w:pStyle w:val="EndNoteBibliography"/>
        <w:spacing w:after="0"/>
      </w:pPr>
      <w:r w:rsidRPr="00C1118E">
        <w:rPr>
          <w:b/>
        </w:rPr>
        <w:t>[14]</w:t>
      </w:r>
      <w:r w:rsidRPr="00C1118E">
        <w:rPr>
          <w:b/>
        </w:rPr>
        <w:tab/>
      </w:r>
      <w:r w:rsidRPr="00C1118E">
        <w:rPr>
          <w:b/>
          <w:i/>
        </w:rPr>
        <w:t xml:space="preserve">Xiao Y, Pan H, She Q, Wang F, Chen M. </w:t>
      </w:r>
      <w:r w:rsidRPr="00C1118E">
        <w:t xml:space="preserve">Prevention of SARS-CoV-2 infection in patients with decompensated cirrhosis. </w:t>
      </w:r>
      <w:r w:rsidRPr="00C1118E">
        <w:rPr>
          <w:i/>
        </w:rPr>
        <w:t>The Lancet Gastroenterology &amp; Hepatology</w:t>
      </w:r>
      <w:r w:rsidRPr="00C1118E">
        <w:t>. 2020;5(6):528-9.</w:t>
      </w:r>
    </w:p>
    <w:p w14:paraId="12B21784" w14:textId="77777777" w:rsidR="00C1118E" w:rsidRPr="00C1118E" w:rsidRDefault="00C1118E" w:rsidP="00C1118E">
      <w:pPr>
        <w:pStyle w:val="EndNoteBibliography"/>
        <w:spacing w:after="0"/>
      </w:pPr>
      <w:r w:rsidRPr="00C1118E">
        <w:rPr>
          <w:b/>
        </w:rPr>
        <w:t>[15]</w:t>
      </w:r>
      <w:r w:rsidRPr="00C1118E">
        <w:rPr>
          <w:b/>
        </w:rPr>
        <w:tab/>
      </w:r>
      <w:r w:rsidRPr="00C1118E">
        <w:rPr>
          <w:b/>
          <w:i/>
        </w:rPr>
        <w:t xml:space="preserve">Wang Q, Zhao H, Liu L-G, Wang Y-B, Zhang T, Li M-H, et al. </w:t>
      </w:r>
      <w:r w:rsidRPr="00C1118E">
        <w:t xml:space="preserve">Pattern of liver injury in adult patients with COVID-19: a retrospective analysis of 105 patients. </w:t>
      </w:r>
      <w:r w:rsidRPr="00C1118E">
        <w:rPr>
          <w:i/>
        </w:rPr>
        <w:t>Military Medical Research</w:t>
      </w:r>
      <w:r w:rsidRPr="00C1118E">
        <w:t>. 2020;7(1):1-8.</w:t>
      </w:r>
    </w:p>
    <w:p w14:paraId="7E723560" w14:textId="77777777" w:rsidR="00C1118E" w:rsidRPr="001842C1" w:rsidRDefault="00C1118E" w:rsidP="00C1118E">
      <w:pPr>
        <w:pStyle w:val="EndNoteBibliography"/>
        <w:spacing w:after="0"/>
        <w:rPr>
          <w:lang w:val="fr-FR"/>
        </w:rPr>
      </w:pPr>
      <w:r w:rsidRPr="00C1118E">
        <w:rPr>
          <w:b/>
        </w:rPr>
        <w:t>[16]</w:t>
      </w:r>
      <w:r w:rsidRPr="00C1118E">
        <w:rPr>
          <w:b/>
        </w:rPr>
        <w:tab/>
      </w:r>
      <w:r w:rsidRPr="00C1118E">
        <w:rPr>
          <w:b/>
          <w:i/>
        </w:rPr>
        <w:t xml:space="preserve">Richardson S, Hirsch JS, Narasimhan M, Crawford JM, McGinn T, Davidson KW, et al. </w:t>
      </w:r>
      <w:r w:rsidRPr="00C1118E">
        <w:t xml:space="preserve">Presenting characteristics, comorbidities, and outcomes among 5700 patients hospitalized with COVID-19 in the New York City area. </w:t>
      </w:r>
      <w:r w:rsidRPr="001842C1">
        <w:rPr>
          <w:i/>
          <w:lang w:val="fr-FR"/>
        </w:rPr>
        <w:t>Jama</w:t>
      </w:r>
      <w:r w:rsidRPr="001842C1">
        <w:rPr>
          <w:lang w:val="fr-FR"/>
        </w:rPr>
        <w:t>. 2020;323(20):2052-9.</w:t>
      </w:r>
    </w:p>
    <w:p w14:paraId="3C971E2C" w14:textId="77777777" w:rsidR="00C1118E" w:rsidRPr="00C1118E" w:rsidRDefault="00C1118E" w:rsidP="00C1118E">
      <w:pPr>
        <w:pStyle w:val="EndNoteBibliography"/>
        <w:spacing w:after="0"/>
      </w:pPr>
      <w:r w:rsidRPr="001842C1">
        <w:rPr>
          <w:b/>
          <w:lang w:val="fr-FR"/>
        </w:rPr>
        <w:t>[17]</w:t>
      </w:r>
      <w:r w:rsidRPr="001842C1">
        <w:rPr>
          <w:b/>
          <w:lang w:val="fr-FR"/>
        </w:rPr>
        <w:tab/>
      </w:r>
      <w:r w:rsidRPr="001842C1">
        <w:rPr>
          <w:b/>
          <w:i/>
          <w:lang w:val="fr-FR"/>
        </w:rPr>
        <w:t xml:space="preserve">Ji X-y, Ma Y, Shi N-n, Liang N, Chen R-b, Liu S-h, et al. </w:t>
      </w:r>
      <w:r w:rsidRPr="00C1118E">
        <w:t xml:space="preserve">Clinical characteristics and treatment outcome of COVID-19 patients with stroke in China: A multicenter retrospective study. </w:t>
      </w:r>
      <w:r w:rsidRPr="00C1118E">
        <w:rPr>
          <w:i/>
        </w:rPr>
        <w:t>Phytomedicine</w:t>
      </w:r>
      <w:r w:rsidRPr="00C1118E">
        <w:t>. 2021;81:153433.</w:t>
      </w:r>
    </w:p>
    <w:p w14:paraId="58E0760F" w14:textId="77777777" w:rsidR="00C1118E" w:rsidRPr="00C1118E" w:rsidRDefault="00C1118E" w:rsidP="00C1118E">
      <w:pPr>
        <w:pStyle w:val="EndNoteBibliography"/>
        <w:spacing w:after="0"/>
      </w:pPr>
      <w:r w:rsidRPr="00C1118E">
        <w:rPr>
          <w:b/>
        </w:rPr>
        <w:t>[18]</w:t>
      </w:r>
      <w:r w:rsidRPr="00C1118E">
        <w:rPr>
          <w:b/>
        </w:rPr>
        <w:tab/>
      </w:r>
      <w:r w:rsidRPr="00C1118E">
        <w:rPr>
          <w:b/>
          <w:i/>
        </w:rPr>
        <w:t xml:space="preserve">Bloom PP, Meyerowitz EA, Reinus Z, Daidone M, Gustafson J, Kim AY, et al. </w:t>
      </w:r>
      <w:r w:rsidRPr="00C1118E">
        <w:t xml:space="preserve">Liver biochemistries in hospitalized patients with COVID‐19. </w:t>
      </w:r>
      <w:r w:rsidRPr="00C1118E">
        <w:rPr>
          <w:i/>
        </w:rPr>
        <w:t>Hepatology</w:t>
      </w:r>
      <w:r w:rsidRPr="00C1118E">
        <w:t>. 2021;73(3):890-900.</w:t>
      </w:r>
    </w:p>
    <w:p w14:paraId="49A91355" w14:textId="77777777" w:rsidR="00C1118E" w:rsidRPr="00C1118E" w:rsidRDefault="00C1118E" w:rsidP="00C1118E">
      <w:pPr>
        <w:pStyle w:val="EndNoteBibliography"/>
        <w:spacing w:after="0"/>
      </w:pPr>
      <w:r w:rsidRPr="00C1118E">
        <w:rPr>
          <w:b/>
        </w:rPr>
        <w:t>[19]</w:t>
      </w:r>
      <w:r w:rsidRPr="00C1118E">
        <w:rPr>
          <w:b/>
        </w:rPr>
        <w:tab/>
      </w:r>
      <w:r w:rsidRPr="00C1118E">
        <w:rPr>
          <w:b/>
          <w:i/>
        </w:rPr>
        <w:t xml:space="preserve">Guan W-J, Ni Z-Y, Hu Y, Liang W-H, Ou C-Q, He J-X, et al. </w:t>
      </w:r>
      <w:r w:rsidRPr="00C1118E">
        <w:t xml:space="preserve">China medical treatment expert group for Covid-19. </w:t>
      </w:r>
      <w:r w:rsidRPr="00C1118E">
        <w:rPr>
          <w:i/>
        </w:rPr>
        <w:t>Clinical characteristics of coronavirus disease</w:t>
      </w:r>
      <w:r w:rsidRPr="00C1118E">
        <w:t>. 2019;382(18):1708-20.</w:t>
      </w:r>
    </w:p>
    <w:p w14:paraId="7B6D6E18" w14:textId="77777777" w:rsidR="00C1118E" w:rsidRPr="00C1118E" w:rsidRDefault="00C1118E" w:rsidP="00C1118E">
      <w:pPr>
        <w:pStyle w:val="EndNoteBibliography"/>
        <w:spacing w:after="0"/>
      </w:pPr>
      <w:r w:rsidRPr="00C1118E">
        <w:rPr>
          <w:b/>
        </w:rPr>
        <w:t>[20]</w:t>
      </w:r>
      <w:r w:rsidRPr="00C1118E">
        <w:rPr>
          <w:b/>
        </w:rPr>
        <w:tab/>
      </w:r>
      <w:r w:rsidRPr="00C1118E">
        <w:rPr>
          <w:b/>
          <w:i/>
        </w:rPr>
        <w:t xml:space="preserve">Xie H, Zhao J, Lian N, Lin S, Xie Q, Zhuo H. </w:t>
      </w:r>
      <w:r w:rsidRPr="00C1118E">
        <w:t xml:space="preserve">Clinical characteristics of non‐ICU hospitalized patients with coronavirus disease 2019 and liver injury: a retrospective study. </w:t>
      </w:r>
      <w:r w:rsidRPr="00C1118E">
        <w:rPr>
          <w:i/>
        </w:rPr>
        <w:t>Liver international</w:t>
      </w:r>
      <w:r w:rsidRPr="00C1118E">
        <w:t>. 2020;40(6):1321-6.</w:t>
      </w:r>
    </w:p>
    <w:p w14:paraId="047BBDE0" w14:textId="77777777" w:rsidR="00C1118E" w:rsidRPr="001842C1" w:rsidRDefault="00C1118E" w:rsidP="00C1118E">
      <w:pPr>
        <w:pStyle w:val="EndNoteBibliography"/>
        <w:spacing w:after="0"/>
        <w:rPr>
          <w:lang w:val="fr-FR"/>
        </w:rPr>
      </w:pPr>
      <w:r w:rsidRPr="00C1118E">
        <w:rPr>
          <w:b/>
        </w:rPr>
        <w:t>[21]</w:t>
      </w:r>
      <w:r w:rsidRPr="00C1118E">
        <w:rPr>
          <w:b/>
        </w:rPr>
        <w:tab/>
      </w:r>
      <w:r w:rsidRPr="00C1118E">
        <w:rPr>
          <w:b/>
          <w:i/>
        </w:rPr>
        <w:t xml:space="preserve">Wang D, Hu B, Hu C, Zhu F, Liu X, Zhang J, et al. </w:t>
      </w:r>
      <w:r w:rsidRPr="00C1118E">
        <w:t xml:space="preserve">Clinical characteristics of 138 hospitalized patients with 2019 novel coronavirus–infected pneumonia in Wuhan, China. </w:t>
      </w:r>
      <w:r w:rsidRPr="00C1118E">
        <w:rPr>
          <w:i/>
        </w:rPr>
        <w:t>jama</w:t>
      </w:r>
      <w:r w:rsidRPr="00C1118E">
        <w:t xml:space="preserve">. </w:t>
      </w:r>
      <w:r w:rsidRPr="001842C1">
        <w:rPr>
          <w:lang w:val="fr-FR"/>
        </w:rPr>
        <w:t>2020;323(11):1061-9.</w:t>
      </w:r>
    </w:p>
    <w:p w14:paraId="39C4ECE3" w14:textId="77777777" w:rsidR="00C1118E" w:rsidRPr="00C1118E" w:rsidRDefault="00C1118E" w:rsidP="00C1118E">
      <w:pPr>
        <w:pStyle w:val="EndNoteBibliography"/>
      </w:pPr>
      <w:r w:rsidRPr="001842C1">
        <w:rPr>
          <w:b/>
          <w:lang w:val="fr-FR"/>
        </w:rPr>
        <w:t>[22]</w:t>
      </w:r>
      <w:r w:rsidRPr="001842C1">
        <w:rPr>
          <w:b/>
          <w:lang w:val="fr-FR"/>
        </w:rPr>
        <w:tab/>
      </w:r>
      <w:r w:rsidRPr="001842C1">
        <w:rPr>
          <w:b/>
          <w:i/>
          <w:lang w:val="fr-FR"/>
        </w:rPr>
        <w:t xml:space="preserve">Fan Z, Chen L, Li J, Cheng X, Yang J, Tian C, et al. </w:t>
      </w:r>
      <w:r w:rsidRPr="00C1118E">
        <w:t xml:space="preserve">Clinical features of COVID-19-related liver functional abnormality. </w:t>
      </w:r>
      <w:r w:rsidRPr="00C1118E">
        <w:rPr>
          <w:i/>
        </w:rPr>
        <w:t>Clinical Gastroenterology and Hepatology</w:t>
      </w:r>
      <w:r w:rsidRPr="00C1118E">
        <w:t>. 2020;18(7):1561-6.</w:t>
      </w:r>
    </w:p>
    <w:p w14:paraId="6842CBFF" w14:textId="1A2FE084" w:rsidR="00825A37" w:rsidRPr="00FE76F9" w:rsidRDefault="00DE5A4A" w:rsidP="00C1118E">
      <w:pPr>
        <w:spacing w:before="120" w:after="0" w:line="360" w:lineRule="auto"/>
        <w:ind w:left="567" w:hanging="567"/>
        <w:jc w:val="both"/>
        <w:rPr>
          <w:rFonts w:asciiTheme="majorBidi" w:eastAsia="Calibri" w:hAnsiTheme="majorBidi" w:cstheme="majorBidi"/>
          <w:b/>
          <w:bCs/>
          <w:sz w:val="28"/>
          <w:szCs w:val="28"/>
          <w:lang w:bidi="ar-EG"/>
        </w:rPr>
      </w:pPr>
      <w:r w:rsidRPr="00AF5787">
        <w:rPr>
          <w:rFonts w:asciiTheme="majorBidi" w:hAnsiTheme="majorBidi" w:cstheme="majorBidi"/>
          <w:sz w:val="24"/>
          <w:szCs w:val="24"/>
        </w:rPr>
        <w:fldChar w:fldCharType="end"/>
      </w:r>
      <w:bookmarkEnd w:id="2"/>
    </w:p>
    <w:sectPr w:rsidR="00825A37" w:rsidRPr="00FE76F9" w:rsidSect="00FB7D47">
      <w:headerReference w:type="default" r:id="rId7"/>
      <w:footerReference w:type="default" r:id="rId8"/>
      <w:pgSz w:w="11907" w:h="16840" w:code="9"/>
      <w:pgMar w:top="1440" w:right="1797" w:bottom="1440" w:left="1797" w:header="709" w:footer="709" w:gutter="0"/>
      <w:pgNumType w:start="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E78A6" w14:textId="77777777" w:rsidR="00943E0F" w:rsidRDefault="00943E0F" w:rsidP="002252B4">
      <w:pPr>
        <w:spacing w:after="0" w:line="240" w:lineRule="auto"/>
      </w:pPr>
      <w:r>
        <w:separator/>
      </w:r>
    </w:p>
  </w:endnote>
  <w:endnote w:type="continuationSeparator" w:id="0">
    <w:p w14:paraId="37B617CD" w14:textId="77777777" w:rsidR="00943E0F" w:rsidRDefault="00943E0F" w:rsidP="00225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84575" w14:textId="77777777" w:rsidR="0074508A" w:rsidRPr="00D82BCD" w:rsidRDefault="0074508A" w:rsidP="00D82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87E0D" w14:textId="77777777" w:rsidR="00943E0F" w:rsidRDefault="00943E0F" w:rsidP="002252B4">
      <w:pPr>
        <w:spacing w:after="0" w:line="240" w:lineRule="auto"/>
      </w:pPr>
      <w:r>
        <w:separator/>
      </w:r>
    </w:p>
  </w:footnote>
  <w:footnote w:type="continuationSeparator" w:id="0">
    <w:p w14:paraId="1E156BAE" w14:textId="77777777" w:rsidR="00943E0F" w:rsidRDefault="00943E0F" w:rsidP="00225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63B13" w14:textId="77777777" w:rsidR="0074508A" w:rsidRPr="00213E06" w:rsidRDefault="0074508A" w:rsidP="00213E06">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A6AFB"/>
    <w:multiLevelType w:val="hybridMultilevel"/>
    <w:tmpl w:val="90266694"/>
    <w:lvl w:ilvl="0" w:tplc="EB800B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768DB"/>
    <w:multiLevelType w:val="hybridMultilevel"/>
    <w:tmpl w:val="B06824C8"/>
    <w:lvl w:ilvl="0" w:tplc="48E852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B21936"/>
    <w:multiLevelType w:val="hybridMultilevel"/>
    <w:tmpl w:val="460825F0"/>
    <w:lvl w:ilvl="0" w:tplc="C278EA76">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08364E"/>
    <w:multiLevelType w:val="hybridMultilevel"/>
    <w:tmpl w:val="F868777C"/>
    <w:lvl w:ilvl="0" w:tplc="60841F5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 ]&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tvrtsw5w0s99aeat5w5zsphtatatavew2zt&quot;&gt;Untitled 5-3-2024&lt;record-ids&gt;&lt;item&gt;1&lt;/item&gt;&lt;item&gt;4&lt;/item&gt;&lt;item&gt;5&lt;/item&gt;&lt;item&gt;8&lt;/item&gt;&lt;item&gt;9&lt;/item&gt;&lt;item&gt;10&lt;/item&gt;&lt;item&gt;11&lt;/item&gt;&lt;item&gt;12&lt;/item&gt;&lt;item&gt;13&lt;/item&gt;&lt;item&gt;14&lt;/item&gt;&lt;item&gt;15&lt;/item&gt;&lt;item&gt;16&lt;/item&gt;&lt;item&gt;17&lt;/item&gt;&lt;item&gt;18&lt;/item&gt;&lt;item&gt;19&lt;/item&gt;&lt;item&gt;20&lt;/item&gt;&lt;item&gt;24&lt;/item&gt;&lt;item&gt;25&lt;/item&gt;&lt;item&gt;26&lt;/item&gt;&lt;item&gt;27&lt;/item&gt;&lt;item&gt;28&lt;/item&gt;&lt;item&gt;29&lt;/item&gt;&lt;item&gt;30&lt;/item&gt;&lt;/record-ids&gt;&lt;/item&gt;&lt;/Libraries&gt;"/>
  </w:docVars>
  <w:rsids>
    <w:rsidRoot w:val="00982D28"/>
    <w:rsid w:val="000026F0"/>
    <w:rsid w:val="00003C78"/>
    <w:rsid w:val="00013A2C"/>
    <w:rsid w:val="0001474B"/>
    <w:rsid w:val="0001706A"/>
    <w:rsid w:val="0002120C"/>
    <w:rsid w:val="00024326"/>
    <w:rsid w:val="00026918"/>
    <w:rsid w:val="0003180A"/>
    <w:rsid w:val="00032285"/>
    <w:rsid w:val="00033BA6"/>
    <w:rsid w:val="0003636C"/>
    <w:rsid w:val="00040A9C"/>
    <w:rsid w:val="00041271"/>
    <w:rsid w:val="00041F42"/>
    <w:rsid w:val="000437F9"/>
    <w:rsid w:val="000440CA"/>
    <w:rsid w:val="00051CE9"/>
    <w:rsid w:val="000605E6"/>
    <w:rsid w:val="00070735"/>
    <w:rsid w:val="00070A71"/>
    <w:rsid w:val="0007293C"/>
    <w:rsid w:val="00075BA0"/>
    <w:rsid w:val="00075F35"/>
    <w:rsid w:val="00083033"/>
    <w:rsid w:val="000839F2"/>
    <w:rsid w:val="00084FE6"/>
    <w:rsid w:val="00090342"/>
    <w:rsid w:val="00093E7A"/>
    <w:rsid w:val="000954BC"/>
    <w:rsid w:val="000974F5"/>
    <w:rsid w:val="000A2137"/>
    <w:rsid w:val="000A7ADF"/>
    <w:rsid w:val="000B04DC"/>
    <w:rsid w:val="000B15E7"/>
    <w:rsid w:val="000C543A"/>
    <w:rsid w:val="000D08AB"/>
    <w:rsid w:val="000D11E4"/>
    <w:rsid w:val="000D547B"/>
    <w:rsid w:val="000D57E6"/>
    <w:rsid w:val="000D5BC9"/>
    <w:rsid w:val="000D655A"/>
    <w:rsid w:val="000D6721"/>
    <w:rsid w:val="000E23CF"/>
    <w:rsid w:val="000E43FF"/>
    <w:rsid w:val="000F3AEB"/>
    <w:rsid w:val="000F615B"/>
    <w:rsid w:val="000F6A19"/>
    <w:rsid w:val="00102C86"/>
    <w:rsid w:val="00103711"/>
    <w:rsid w:val="00103867"/>
    <w:rsid w:val="00105853"/>
    <w:rsid w:val="00116FBA"/>
    <w:rsid w:val="00117984"/>
    <w:rsid w:val="0012033D"/>
    <w:rsid w:val="00121AA1"/>
    <w:rsid w:val="00121B9F"/>
    <w:rsid w:val="00132761"/>
    <w:rsid w:val="001409FB"/>
    <w:rsid w:val="00144F56"/>
    <w:rsid w:val="00151A61"/>
    <w:rsid w:val="00153BFA"/>
    <w:rsid w:val="00155227"/>
    <w:rsid w:val="001649D4"/>
    <w:rsid w:val="00173D98"/>
    <w:rsid w:val="0017780E"/>
    <w:rsid w:val="001809B7"/>
    <w:rsid w:val="00180D16"/>
    <w:rsid w:val="001842C1"/>
    <w:rsid w:val="001856EA"/>
    <w:rsid w:val="00187966"/>
    <w:rsid w:val="00195769"/>
    <w:rsid w:val="001A122C"/>
    <w:rsid w:val="001A4E2A"/>
    <w:rsid w:val="001A6E09"/>
    <w:rsid w:val="001D4A19"/>
    <w:rsid w:val="001D5144"/>
    <w:rsid w:val="001E047C"/>
    <w:rsid w:val="001E0C2A"/>
    <w:rsid w:val="001F0385"/>
    <w:rsid w:val="001F63C4"/>
    <w:rsid w:val="0020070D"/>
    <w:rsid w:val="00200BD8"/>
    <w:rsid w:val="002022C0"/>
    <w:rsid w:val="002026CD"/>
    <w:rsid w:val="00207907"/>
    <w:rsid w:val="00212133"/>
    <w:rsid w:val="00213E06"/>
    <w:rsid w:val="00224A79"/>
    <w:rsid w:val="002252B4"/>
    <w:rsid w:val="002332B0"/>
    <w:rsid w:val="002341F3"/>
    <w:rsid w:val="0023482C"/>
    <w:rsid w:val="00237E22"/>
    <w:rsid w:val="00241B32"/>
    <w:rsid w:val="00244EE1"/>
    <w:rsid w:val="00251DB4"/>
    <w:rsid w:val="00251ED7"/>
    <w:rsid w:val="00254F04"/>
    <w:rsid w:val="0026209B"/>
    <w:rsid w:val="002632F5"/>
    <w:rsid w:val="00265F17"/>
    <w:rsid w:val="00273812"/>
    <w:rsid w:val="00276A46"/>
    <w:rsid w:val="002802B0"/>
    <w:rsid w:val="002832B7"/>
    <w:rsid w:val="00285B74"/>
    <w:rsid w:val="00285C91"/>
    <w:rsid w:val="002864E4"/>
    <w:rsid w:val="00293488"/>
    <w:rsid w:val="00294189"/>
    <w:rsid w:val="00294586"/>
    <w:rsid w:val="002A0ABB"/>
    <w:rsid w:val="002B061F"/>
    <w:rsid w:val="002B1F31"/>
    <w:rsid w:val="002B4ED6"/>
    <w:rsid w:val="002B4F39"/>
    <w:rsid w:val="002B7BFA"/>
    <w:rsid w:val="002C0EEF"/>
    <w:rsid w:val="002C30D3"/>
    <w:rsid w:val="002C647B"/>
    <w:rsid w:val="002D031E"/>
    <w:rsid w:val="002D3E5F"/>
    <w:rsid w:val="002E5F7E"/>
    <w:rsid w:val="002F0944"/>
    <w:rsid w:val="002F1AF5"/>
    <w:rsid w:val="002F546A"/>
    <w:rsid w:val="002F655F"/>
    <w:rsid w:val="002F6A52"/>
    <w:rsid w:val="002F77AB"/>
    <w:rsid w:val="00300EA0"/>
    <w:rsid w:val="00301C94"/>
    <w:rsid w:val="00301D66"/>
    <w:rsid w:val="00303898"/>
    <w:rsid w:val="00304C49"/>
    <w:rsid w:val="00306A25"/>
    <w:rsid w:val="00306EBC"/>
    <w:rsid w:val="00311027"/>
    <w:rsid w:val="003136A9"/>
    <w:rsid w:val="00314B5F"/>
    <w:rsid w:val="00315224"/>
    <w:rsid w:val="00321749"/>
    <w:rsid w:val="00321E38"/>
    <w:rsid w:val="00325311"/>
    <w:rsid w:val="003255FF"/>
    <w:rsid w:val="00325EBC"/>
    <w:rsid w:val="0032799E"/>
    <w:rsid w:val="003323E1"/>
    <w:rsid w:val="00335F36"/>
    <w:rsid w:val="003407C3"/>
    <w:rsid w:val="0034382E"/>
    <w:rsid w:val="00344332"/>
    <w:rsid w:val="003461EC"/>
    <w:rsid w:val="00355D18"/>
    <w:rsid w:val="00356CF1"/>
    <w:rsid w:val="003605DA"/>
    <w:rsid w:val="00365BA8"/>
    <w:rsid w:val="00373C0A"/>
    <w:rsid w:val="00375436"/>
    <w:rsid w:val="00376A8B"/>
    <w:rsid w:val="00380167"/>
    <w:rsid w:val="003825CE"/>
    <w:rsid w:val="00383D15"/>
    <w:rsid w:val="00385576"/>
    <w:rsid w:val="00385EEC"/>
    <w:rsid w:val="00390275"/>
    <w:rsid w:val="003924CB"/>
    <w:rsid w:val="00392A1D"/>
    <w:rsid w:val="003935E0"/>
    <w:rsid w:val="00397676"/>
    <w:rsid w:val="003A5DC4"/>
    <w:rsid w:val="003A77AA"/>
    <w:rsid w:val="003B2AA3"/>
    <w:rsid w:val="003B5ACE"/>
    <w:rsid w:val="003B5BF8"/>
    <w:rsid w:val="003B7931"/>
    <w:rsid w:val="003C1762"/>
    <w:rsid w:val="003C383C"/>
    <w:rsid w:val="003C3EAA"/>
    <w:rsid w:val="003C3FEB"/>
    <w:rsid w:val="003C5F2B"/>
    <w:rsid w:val="003D49A1"/>
    <w:rsid w:val="003D4A7F"/>
    <w:rsid w:val="003D5D4F"/>
    <w:rsid w:val="003D74E8"/>
    <w:rsid w:val="003E20FA"/>
    <w:rsid w:val="003E2AB4"/>
    <w:rsid w:val="003F174B"/>
    <w:rsid w:val="003F4823"/>
    <w:rsid w:val="003F572E"/>
    <w:rsid w:val="00402306"/>
    <w:rsid w:val="00407DB5"/>
    <w:rsid w:val="004130E1"/>
    <w:rsid w:val="0041363B"/>
    <w:rsid w:val="00417AE2"/>
    <w:rsid w:val="00420181"/>
    <w:rsid w:val="0042096B"/>
    <w:rsid w:val="0042425E"/>
    <w:rsid w:val="004364E0"/>
    <w:rsid w:val="004456BA"/>
    <w:rsid w:val="004465D9"/>
    <w:rsid w:val="004479D5"/>
    <w:rsid w:val="004707FD"/>
    <w:rsid w:val="004825A4"/>
    <w:rsid w:val="004827EA"/>
    <w:rsid w:val="00486F17"/>
    <w:rsid w:val="00487DE8"/>
    <w:rsid w:val="00490C65"/>
    <w:rsid w:val="0049347F"/>
    <w:rsid w:val="004950BE"/>
    <w:rsid w:val="004A622F"/>
    <w:rsid w:val="004A6A50"/>
    <w:rsid w:val="004B40FC"/>
    <w:rsid w:val="004B5816"/>
    <w:rsid w:val="004C4B67"/>
    <w:rsid w:val="004D571F"/>
    <w:rsid w:val="004D7511"/>
    <w:rsid w:val="004E0A95"/>
    <w:rsid w:val="004E13F0"/>
    <w:rsid w:val="004E21E9"/>
    <w:rsid w:val="004E4E42"/>
    <w:rsid w:val="004E5E11"/>
    <w:rsid w:val="004E5FD5"/>
    <w:rsid w:val="004E6710"/>
    <w:rsid w:val="004F292E"/>
    <w:rsid w:val="004F6409"/>
    <w:rsid w:val="004F65DA"/>
    <w:rsid w:val="004F779E"/>
    <w:rsid w:val="00500910"/>
    <w:rsid w:val="00503919"/>
    <w:rsid w:val="00510CC4"/>
    <w:rsid w:val="0051243E"/>
    <w:rsid w:val="00514F01"/>
    <w:rsid w:val="005158FE"/>
    <w:rsid w:val="00530E65"/>
    <w:rsid w:val="00532C31"/>
    <w:rsid w:val="0055046B"/>
    <w:rsid w:val="00550EA6"/>
    <w:rsid w:val="00552D7C"/>
    <w:rsid w:val="00553432"/>
    <w:rsid w:val="0055754C"/>
    <w:rsid w:val="005615DD"/>
    <w:rsid w:val="005650F8"/>
    <w:rsid w:val="00565213"/>
    <w:rsid w:val="00567ED6"/>
    <w:rsid w:val="0057075C"/>
    <w:rsid w:val="00570FE7"/>
    <w:rsid w:val="0057311E"/>
    <w:rsid w:val="005766F1"/>
    <w:rsid w:val="00577404"/>
    <w:rsid w:val="00582036"/>
    <w:rsid w:val="0058468B"/>
    <w:rsid w:val="00586D8A"/>
    <w:rsid w:val="0059250C"/>
    <w:rsid w:val="00594DC4"/>
    <w:rsid w:val="00597658"/>
    <w:rsid w:val="005A1176"/>
    <w:rsid w:val="005B39C4"/>
    <w:rsid w:val="005B47F6"/>
    <w:rsid w:val="005B6322"/>
    <w:rsid w:val="005B7987"/>
    <w:rsid w:val="005C0937"/>
    <w:rsid w:val="005C172E"/>
    <w:rsid w:val="005C3E10"/>
    <w:rsid w:val="005C477D"/>
    <w:rsid w:val="005C5770"/>
    <w:rsid w:val="005C5BAD"/>
    <w:rsid w:val="005D1739"/>
    <w:rsid w:val="005D291F"/>
    <w:rsid w:val="005D2A49"/>
    <w:rsid w:val="005D3EC2"/>
    <w:rsid w:val="005E0263"/>
    <w:rsid w:val="005E1CAA"/>
    <w:rsid w:val="005F1A7D"/>
    <w:rsid w:val="005F3DFC"/>
    <w:rsid w:val="005F4528"/>
    <w:rsid w:val="00601EBC"/>
    <w:rsid w:val="00604956"/>
    <w:rsid w:val="00606CFB"/>
    <w:rsid w:val="0061405A"/>
    <w:rsid w:val="006149C1"/>
    <w:rsid w:val="00617AE3"/>
    <w:rsid w:val="00621EA0"/>
    <w:rsid w:val="006232AB"/>
    <w:rsid w:val="00637217"/>
    <w:rsid w:val="00645515"/>
    <w:rsid w:val="00650E41"/>
    <w:rsid w:val="00654321"/>
    <w:rsid w:val="00655CAC"/>
    <w:rsid w:val="0066023D"/>
    <w:rsid w:val="006612E2"/>
    <w:rsid w:val="006625F9"/>
    <w:rsid w:val="00663686"/>
    <w:rsid w:val="00670F85"/>
    <w:rsid w:val="00673EB5"/>
    <w:rsid w:val="00681AEB"/>
    <w:rsid w:val="00681C82"/>
    <w:rsid w:val="0068214F"/>
    <w:rsid w:val="006837E1"/>
    <w:rsid w:val="0068536B"/>
    <w:rsid w:val="006853ED"/>
    <w:rsid w:val="00687928"/>
    <w:rsid w:val="00687E30"/>
    <w:rsid w:val="0069035F"/>
    <w:rsid w:val="0069531E"/>
    <w:rsid w:val="006A14F8"/>
    <w:rsid w:val="006A4009"/>
    <w:rsid w:val="006A5FE7"/>
    <w:rsid w:val="006B32F5"/>
    <w:rsid w:val="006B45D0"/>
    <w:rsid w:val="006B57EA"/>
    <w:rsid w:val="006B7436"/>
    <w:rsid w:val="006C344E"/>
    <w:rsid w:val="006D3D65"/>
    <w:rsid w:val="006D5F0E"/>
    <w:rsid w:val="006D646F"/>
    <w:rsid w:val="006E3E19"/>
    <w:rsid w:val="006F0511"/>
    <w:rsid w:val="006F0DB5"/>
    <w:rsid w:val="006F12A4"/>
    <w:rsid w:val="006F2061"/>
    <w:rsid w:val="006F336C"/>
    <w:rsid w:val="007030E2"/>
    <w:rsid w:val="00703D93"/>
    <w:rsid w:val="00703FA4"/>
    <w:rsid w:val="0070659F"/>
    <w:rsid w:val="0071391A"/>
    <w:rsid w:val="00713AEC"/>
    <w:rsid w:val="00714E03"/>
    <w:rsid w:val="0072429E"/>
    <w:rsid w:val="007258C7"/>
    <w:rsid w:val="00727525"/>
    <w:rsid w:val="00732320"/>
    <w:rsid w:val="00732947"/>
    <w:rsid w:val="007418AC"/>
    <w:rsid w:val="00744F20"/>
    <w:rsid w:val="0074508A"/>
    <w:rsid w:val="00745D58"/>
    <w:rsid w:val="00745EBB"/>
    <w:rsid w:val="00751E93"/>
    <w:rsid w:val="007523C9"/>
    <w:rsid w:val="007534C9"/>
    <w:rsid w:val="007611D5"/>
    <w:rsid w:val="007668FE"/>
    <w:rsid w:val="0077362F"/>
    <w:rsid w:val="00780002"/>
    <w:rsid w:val="00782032"/>
    <w:rsid w:val="007821B5"/>
    <w:rsid w:val="00785172"/>
    <w:rsid w:val="00792E41"/>
    <w:rsid w:val="00793E00"/>
    <w:rsid w:val="00794221"/>
    <w:rsid w:val="007978A9"/>
    <w:rsid w:val="007A0039"/>
    <w:rsid w:val="007A30EE"/>
    <w:rsid w:val="007A3F61"/>
    <w:rsid w:val="007A4A52"/>
    <w:rsid w:val="007A61C4"/>
    <w:rsid w:val="007A7323"/>
    <w:rsid w:val="007A7DA3"/>
    <w:rsid w:val="007B03F9"/>
    <w:rsid w:val="007B4882"/>
    <w:rsid w:val="007B62E7"/>
    <w:rsid w:val="007B6C30"/>
    <w:rsid w:val="007C26F4"/>
    <w:rsid w:val="007C5A8C"/>
    <w:rsid w:val="007D1B52"/>
    <w:rsid w:val="007D51A5"/>
    <w:rsid w:val="007D5BFF"/>
    <w:rsid w:val="007E63F5"/>
    <w:rsid w:val="007F08C8"/>
    <w:rsid w:val="007F3D76"/>
    <w:rsid w:val="0080011C"/>
    <w:rsid w:val="008007B0"/>
    <w:rsid w:val="00802383"/>
    <w:rsid w:val="00810FAE"/>
    <w:rsid w:val="00811C5B"/>
    <w:rsid w:val="008123B7"/>
    <w:rsid w:val="00812FDD"/>
    <w:rsid w:val="00815076"/>
    <w:rsid w:val="00822833"/>
    <w:rsid w:val="00824E00"/>
    <w:rsid w:val="00825A37"/>
    <w:rsid w:val="00831239"/>
    <w:rsid w:val="008331D1"/>
    <w:rsid w:val="00837A1B"/>
    <w:rsid w:val="00843CBA"/>
    <w:rsid w:val="00846CDE"/>
    <w:rsid w:val="00850DF4"/>
    <w:rsid w:val="0085213B"/>
    <w:rsid w:val="008552C6"/>
    <w:rsid w:val="00860747"/>
    <w:rsid w:val="00862E42"/>
    <w:rsid w:val="008649AC"/>
    <w:rsid w:val="00864C34"/>
    <w:rsid w:val="00864E6C"/>
    <w:rsid w:val="00870FC0"/>
    <w:rsid w:val="00874C9D"/>
    <w:rsid w:val="0087653D"/>
    <w:rsid w:val="00876EB9"/>
    <w:rsid w:val="008832A3"/>
    <w:rsid w:val="008861EB"/>
    <w:rsid w:val="00891E1B"/>
    <w:rsid w:val="00893A37"/>
    <w:rsid w:val="00895D41"/>
    <w:rsid w:val="008964F4"/>
    <w:rsid w:val="008A23C5"/>
    <w:rsid w:val="008A6617"/>
    <w:rsid w:val="008A66AD"/>
    <w:rsid w:val="008A6F48"/>
    <w:rsid w:val="008B3262"/>
    <w:rsid w:val="008B39EF"/>
    <w:rsid w:val="008B7372"/>
    <w:rsid w:val="008C00D2"/>
    <w:rsid w:val="008C2ED2"/>
    <w:rsid w:val="008C34CE"/>
    <w:rsid w:val="008C4916"/>
    <w:rsid w:val="008C7BBA"/>
    <w:rsid w:val="008D082D"/>
    <w:rsid w:val="008D5906"/>
    <w:rsid w:val="008E18F0"/>
    <w:rsid w:val="008E35E3"/>
    <w:rsid w:val="008F07C2"/>
    <w:rsid w:val="008F0E47"/>
    <w:rsid w:val="008F2502"/>
    <w:rsid w:val="008F27AB"/>
    <w:rsid w:val="008F43D4"/>
    <w:rsid w:val="008F5B1C"/>
    <w:rsid w:val="008F5C7B"/>
    <w:rsid w:val="008F6303"/>
    <w:rsid w:val="008F70CC"/>
    <w:rsid w:val="008F741C"/>
    <w:rsid w:val="00900633"/>
    <w:rsid w:val="00900B90"/>
    <w:rsid w:val="0090328E"/>
    <w:rsid w:val="00913326"/>
    <w:rsid w:val="00915E2F"/>
    <w:rsid w:val="009224BE"/>
    <w:rsid w:val="0092563D"/>
    <w:rsid w:val="00930FF5"/>
    <w:rsid w:val="00934F41"/>
    <w:rsid w:val="009359C9"/>
    <w:rsid w:val="00936356"/>
    <w:rsid w:val="00937D34"/>
    <w:rsid w:val="009428BF"/>
    <w:rsid w:val="00943CFE"/>
    <w:rsid w:val="00943E0F"/>
    <w:rsid w:val="0094434C"/>
    <w:rsid w:val="00947FE1"/>
    <w:rsid w:val="00953F3D"/>
    <w:rsid w:val="00957406"/>
    <w:rsid w:val="009610B2"/>
    <w:rsid w:val="00963467"/>
    <w:rsid w:val="00964ED0"/>
    <w:rsid w:val="00966E83"/>
    <w:rsid w:val="00974737"/>
    <w:rsid w:val="00974BD8"/>
    <w:rsid w:val="009760D9"/>
    <w:rsid w:val="00981CD1"/>
    <w:rsid w:val="00982007"/>
    <w:rsid w:val="0098267B"/>
    <w:rsid w:val="00982D28"/>
    <w:rsid w:val="0098548C"/>
    <w:rsid w:val="00993CB1"/>
    <w:rsid w:val="009A192F"/>
    <w:rsid w:val="009A6B40"/>
    <w:rsid w:val="009B2C39"/>
    <w:rsid w:val="009B4EB4"/>
    <w:rsid w:val="009B5421"/>
    <w:rsid w:val="009B741A"/>
    <w:rsid w:val="009C19AD"/>
    <w:rsid w:val="009C67F7"/>
    <w:rsid w:val="009D169A"/>
    <w:rsid w:val="009D2E1D"/>
    <w:rsid w:val="009E2F9D"/>
    <w:rsid w:val="009E426D"/>
    <w:rsid w:val="009E4882"/>
    <w:rsid w:val="009F38C5"/>
    <w:rsid w:val="009F41D6"/>
    <w:rsid w:val="009F42A6"/>
    <w:rsid w:val="009F48B2"/>
    <w:rsid w:val="00A011FE"/>
    <w:rsid w:val="00A018F1"/>
    <w:rsid w:val="00A02855"/>
    <w:rsid w:val="00A046C9"/>
    <w:rsid w:val="00A06ACB"/>
    <w:rsid w:val="00A10813"/>
    <w:rsid w:val="00A12762"/>
    <w:rsid w:val="00A12885"/>
    <w:rsid w:val="00A1548E"/>
    <w:rsid w:val="00A1646B"/>
    <w:rsid w:val="00A20040"/>
    <w:rsid w:val="00A201DB"/>
    <w:rsid w:val="00A2226F"/>
    <w:rsid w:val="00A22379"/>
    <w:rsid w:val="00A2344D"/>
    <w:rsid w:val="00A25728"/>
    <w:rsid w:val="00A349AB"/>
    <w:rsid w:val="00A44C0E"/>
    <w:rsid w:val="00A466E0"/>
    <w:rsid w:val="00A508AA"/>
    <w:rsid w:val="00A65E6F"/>
    <w:rsid w:val="00A67717"/>
    <w:rsid w:val="00A70465"/>
    <w:rsid w:val="00A74791"/>
    <w:rsid w:val="00A753B6"/>
    <w:rsid w:val="00A80328"/>
    <w:rsid w:val="00A80DB3"/>
    <w:rsid w:val="00A8195A"/>
    <w:rsid w:val="00A9037C"/>
    <w:rsid w:val="00AA52C4"/>
    <w:rsid w:val="00AA543D"/>
    <w:rsid w:val="00AA67F7"/>
    <w:rsid w:val="00AB003A"/>
    <w:rsid w:val="00AC072D"/>
    <w:rsid w:val="00AC3965"/>
    <w:rsid w:val="00AC6FDA"/>
    <w:rsid w:val="00AD6005"/>
    <w:rsid w:val="00AE07E4"/>
    <w:rsid w:val="00AE18E6"/>
    <w:rsid w:val="00AE5FBE"/>
    <w:rsid w:val="00AF006E"/>
    <w:rsid w:val="00AF0604"/>
    <w:rsid w:val="00AF0B9B"/>
    <w:rsid w:val="00AF5787"/>
    <w:rsid w:val="00AF654F"/>
    <w:rsid w:val="00B0275C"/>
    <w:rsid w:val="00B03166"/>
    <w:rsid w:val="00B051A8"/>
    <w:rsid w:val="00B0588B"/>
    <w:rsid w:val="00B068AB"/>
    <w:rsid w:val="00B06D97"/>
    <w:rsid w:val="00B21CF5"/>
    <w:rsid w:val="00B24242"/>
    <w:rsid w:val="00B24400"/>
    <w:rsid w:val="00B24E2C"/>
    <w:rsid w:val="00B31588"/>
    <w:rsid w:val="00B32BAE"/>
    <w:rsid w:val="00B32D78"/>
    <w:rsid w:val="00B37A00"/>
    <w:rsid w:val="00B42494"/>
    <w:rsid w:val="00B470B8"/>
    <w:rsid w:val="00B54119"/>
    <w:rsid w:val="00B56651"/>
    <w:rsid w:val="00B615DB"/>
    <w:rsid w:val="00B65856"/>
    <w:rsid w:val="00B66A81"/>
    <w:rsid w:val="00B72215"/>
    <w:rsid w:val="00B76389"/>
    <w:rsid w:val="00B811ED"/>
    <w:rsid w:val="00B82801"/>
    <w:rsid w:val="00B9047E"/>
    <w:rsid w:val="00B91014"/>
    <w:rsid w:val="00B9428F"/>
    <w:rsid w:val="00B94390"/>
    <w:rsid w:val="00B94DB0"/>
    <w:rsid w:val="00BA1AA3"/>
    <w:rsid w:val="00BA4045"/>
    <w:rsid w:val="00BA40C1"/>
    <w:rsid w:val="00BA4E59"/>
    <w:rsid w:val="00BA6A5E"/>
    <w:rsid w:val="00BA6F21"/>
    <w:rsid w:val="00BB052D"/>
    <w:rsid w:val="00BB41F8"/>
    <w:rsid w:val="00BB5F44"/>
    <w:rsid w:val="00BB65C8"/>
    <w:rsid w:val="00BB67ED"/>
    <w:rsid w:val="00BC63F0"/>
    <w:rsid w:val="00BC6526"/>
    <w:rsid w:val="00BC7CA8"/>
    <w:rsid w:val="00BD1C25"/>
    <w:rsid w:val="00BD1D64"/>
    <w:rsid w:val="00BD1E9D"/>
    <w:rsid w:val="00BE2C25"/>
    <w:rsid w:val="00BE2F3A"/>
    <w:rsid w:val="00BF1ACF"/>
    <w:rsid w:val="00BF768B"/>
    <w:rsid w:val="00C01F88"/>
    <w:rsid w:val="00C0416E"/>
    <w:rsid w:val="00C07670"/>
    <w:rsid w:val="00C1118E"/>
    <w:rsid w:val="00C1519A"/>
    <w:rsid w:val="00C248DE"/>
    <w:rsid w:val="00C26209"/>
    <w:rsid w:val="00C31087"/>
    <w:rsid w:val="00C315FA"/>
    <w:rsid w:val="00C3178D"/>
    <w:rsid w:val="00C31D9E"/>
    <w:rsid w:val="00C419B5"/>
    <w:rsid w:val="00C4595C"/>
    <w:rsid w:val="00C46B5C"/>
    <w:rsid w:val="00C47B49"/>
    <w:rsid w:val="00C50323"/>
    <w:rsid w:val="00C52C09"/>
    <w:rsid w:val="00C56596"/>
    <w:rsid w:val="00C60592"/>
    <w:rsid w:val="00C64A09"/>
    <w:rsid w:val="00C67342"/>
    <w:rsid w:val="00C744BC"/>
    <w:rsid w:val="00C755EF"/>
    <w:rsid w:val="00C83A5F"/>
    <w:rsid w:val="00C83C41"/>
    <w:rsid w:val="00C8423F"/>
    <w:rsid w:val="00C84CFF"/>
    <w:rsid w:val="00C97326"/>
    <w:rsid w:val="00CA3E58"/>
    <w:rsid w:val="00CA41FD"/>
    <w:rsid w:val="00CB4C13"/>
    <w:rsid w:val="00CB5A2C"/>
    <w:rsid w:val="00CC045F"/>
    <w:rsid w:val="00CC1D71"/>
    <w:rsid w:val="00CC28BF"/>
    <w:rsid w:val="00CC7D40"/>
    <w:rsid w:val="00CD0260"/>
    <w:rsid w:val="00CE4CD7"/>
    <w:rsid w:val="00CF5904"/>
    <w:rsid w:val="00D054E7"/>
    <w:rsid w:val="00D104D3"/>
    <w:rsid w:val="00D1088E"/>
    <w:rsid w:val="00D10F99"/>
    <w:rsid w:val="00D14933"/>
    <w:rsid w:val="00D2143E"/>
    <w:rsid w:val="00D216B0"/>
    <w:rsid w:val="00D256B9"/>
    <w:rsid w:val="00D30F91"/>
    <w:rsid w:val="00D41143"/>
    <w:rsid w:val="00D43CEF"/>
    <w:rsid w:val="00D50236"/>
    <w:rsid w:val="00D51D33"/>
    <w:rsid w:val="00D60DF8"/>
    <w:rsid w:val="00D66209"/>
    <w:rsid w:val="00D671E7"/>
    <w:rsid w:val="00D824E3"/>
    <w:rsid w:val="00D82BCD"/>
    <w:rsid w:val="00D82FF7"/>
    <w:rsid w:val="00D83EC7"/>
    <w:rsid w:val="00D8494A"/>
    <w:rsid w:val="00D91BB0"/>
    <w:rsid w:val="00D92B5B"/>
    <w:rsid w:val="00D961EE"/>
    <w:rsid w:val="00DA008F"/>
    <w:rsid w:val="00DA1F92"/>
    <w:rsid w:val="00DA3878"/>
    <w:rsid w:val="00DA54A3"/>
    <w:rsid w:val="00DA63C0"/>
    <w:rsid w:val="00DB4291"/>
    <w:rsid w:val="00DB45E7"/>
    <w:rsid w:val="00DB5758"/>
    <w:rsid w:val="00DB7007"/>
    <w:rsid w:val="00DB7250"/>
    <w:rsid w:val="00DC0594"/>
    <w:rsid w:val="00DC73F9"/>
    <w:rsid w:val="00DC7AFD"/>
    <w:rsid w:val="00DD6077"/>
    <w:rsid w:val="00DE2378"/>
    <w:rsid w:val="00DE4414"/>
    <w:rsid w:val="00DE5A4A"/>
    <w:rsid w:val="00DF0871"/>
    <w:rsid w:val="00DF4774"/>
    <w:rsid w:val="00DF50C9"/>
    <w:rsid w:val="00DF5B88"/>
    <w:rsid w:val="00DF6115"/>
    <w:rsid w:val="00DF7A0A"/>
    <w:rsid w:val="00E006B3"/>
    <w:rsid w:val="00E06389"/>
    <w:rsid w:val="00E06963"/>
    <w:rsid w:val="00E11D01"/>
    <w:rsid w:val="00E134E0"/>
    <w:rsid w:val="00E208A0"/>
    <w:rsid w:val="00E25818"/>
    <w:rsid w:val="00E32ACB"/>
    <w:rsid w:val="00E33595"/>
    <w:rsid w:val="00E352FE"/>
    <w:rsid w:val="00E36254"/>
    <w:rsid w:val="00E37212"/>
    <w:rsid w:val="00E3725C"/>
    <w:rsid w:val="00E37317"/>
    <w:rsid w:val="00E37927"/>
    <w:rsid w:val="00E40D65"/>
    <w:rsid w:val="00E4786A"/>
    <w:rsid w:val="00E66326"/>
    <w:rsid w:val="00E6784D"/>
    <w:rsid w:val="00E71858"/>
    <w:rsid w:val="00E808C1"/>
    <w:rsid w:val="00E82342"/>
    <w:rsid w:val="00EA08A0"/>
    <w:rsid w:val="00EA2291"/>
    <w:rsid w:val="00EA32A5"/>
    <w:rsid w:val="00EA3C23"/>
    <w:rsid w:val="00EB12B7"/>
    <w:rsid w:val="00EB21CF"/>
    <w:rsid w:val="00EB4171"/>
    <w:rsid w:val="00EC06CE"/>
    <w:rsid w:val="00EE73F9"/>
    <w:rsid w:val="00EF3B98"/>
    <w:rsid w:val="00EF7092"/>
    <w:rsid w:val="00EF7F27"/>
    <w:rsid w:val="00F00717"/>
    <w:rsid w:val="00F052D0"/>
    <w:rsid w:val="00F062FD"/>
    <w:rsid w:val="00F11095"/>
    <w:rsid w:val="00F15671"/>
    <w:rsid w:val="00F17506"/>
    <w:rsid w:val="00F21985"/>
    <w:rsid w:val="00F22F9F"/>
    <w:rsid w:val="00F306CB"/>
    <w:rsid w:val="00F306D8"/>
    <w:rsid w:val="00F3421C"/>
    <w:rsid w:val="00F35BCB"/>
    <w:rsid w:val="00F36178"/>
    <w:rsid w:val="00F42CA6"/>
    <w:rsid w:val="00F43649"/>
    <w:rsid w:val="00F5403B"/>
    <w:rsid w:val="00F54B61"/>
    <w:rsid w:val="00F604B8"/>
    <w:rsid w:val="00F648B4"/>
    <w:rsid w:val="00F663E4"/>
    <w:rsid w:val="00F663F3"/>
    <w:rsid w:val="00F74672"/>
    <w:rsid w:val="00F759CB"/>
    <w:rsid w:val="00F75F89"/>
    <w:rsid w:val="00F76235"/>
    <w:rsid w:val="00F7659E"/>
    <w:rsid w:val="00F8214B"/>
    <w:rsid w:val="00F82771"/>
    <w:rsid w:val="00F83A6E"/>
    <w:rsid w:val="00F83E8D"/>
    <w:rsid w:val="00F85CD9"/>
    <w:rsid w:val="00F866AD"/>
    <w:rsid w:val="00F874BA"/>
    <w:rsid w:val="00F901F6"/>
    <w:rsid w:val="00F91BFD"/>
    <w:rsid w:val="00F925D5"/>
    <w:rsid w:val="00F927F4"/>
    <w:rsid w:val="00F95878"/>
    <w:rsid w:val="00FA6932"/>
    <w:rsid w:val="00FA6F00"/>
    <w:rsid w:val="00FA7354"/>
    <w:rsid w:val="00FB3B9C"/>
    <w:rsid w:val="00FB5AF8"/>
    <w:rsid w:val="00FB7D47"/>
    <w:rsid w:val="00FC1563"/>
    <w:rsid w:val="00FC3E0C"/>
    <w:rsid w:val="00FC4E8B"/>
    <w:rsid w:val="00FC6BB2"/>
    <w:rsid w:val="00FD0700"/>
    <w:rsid w:val="00FD16BB"/>
    <w:rsid w:val="00FD1AEC"/>
    <w:rsid w:val="00FD5E36"/>
    <w:rsid w:val="00FD747B"/>
    <w:rsid w:val="00FE1877"/>
    <w:rsid w:val="00FE76F9"/>
    <w:rsid w:val="00FF2030"/>
    <w:rsid w:val="00FF2E35"/>
    <w:rsid w:val="00FF6E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F46B3"/>
  <w15:docId w15:val="{363ED9FA-C492-4182-A807-9BAC8603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7AB"/>
    <w:pPr>
      <w:spacing w:line="256" w:lineRule="auto"/>
    </w:pPr>
  </w:style>
  <w:style w:type="paragraph" w:styleId="Heading2">
    <w:name w:val="heading 2"/>
    <w:basedOn w:val="Normal"/>
    <w:next w:val="Normal"/>
    <w:link w:val="Heading2Char"/>
    <w:uiPriority w:val="9"/>
    <w:unhideWhenUsed/>
    <w:qFormat/>
    <w:rsid w:val="000D08A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F663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52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252B4"/>
  </w:style>
  <w:style w:type="paragraph" w:styleId="Header">
    <w:name w:val="header"/>
    <w:basedOn w:val="Normal"/>
    <w:link w:val="HeaderChar"/>
    <w:uiPriority w:val="99"/>
    <w:unhideWhenUsed/>
    <w:rsid w:val="002252B4"/>
    <w:pPr>
      <w:tabs>
        <w:tab w:val="center" w:pos="4320"/>
        <w:tab w:val="right" w:pos="8640"/>
      </w:tabs>
      <w:spacing w:after="0" w:line="240" w:lineRule="auto"/>
    </w:pPr>
  </w:style>
  <w:style w:type="character" w:customStyle="1" w:styleId="HeaderChar1">
    <w:name w:val="Header Char1"/>
    <w:basedOn w:val="DefaultParagraphFont"/>
    <w:uiPriority w:val="99"/>
    <w:semiHidden/>
    <w:rsid w:val="002252B4"/>
  </w:style>
  <w:style w:type="character" w:customStyle="1" w:styleId="FooterChar">
    <w:name w:val="Footer Char"/>
    <w:basedOn w:val="DefaultParagraphFont"/>
    <w:link w:val="Footer"/>
    <w:uiPriority w:val="99"/>
    <w:rsid w:val="002252B4"/>
  </w:style>
  <w:style w:type="paragraph" w:styleId="Footer">
    <w:name w:val="footer"/>
    <w:basedOn w:val="Normal"/>
    <w:link w:val="FooterChar"/>
    <w:uiPriority w:val="99"/>
    <w:unhideWhenUsed/>
    <w:rsid w:val="002252B4"/>
    <w:pPr>
      <w:tabs>
        <w:tab w:val="center" w:pos="4320"/>
        <w:tab w:val="right" w:pos="8640"/>
      </w:tabs>
      <w:spacing w:after="0" w:line="240" w:lineRule="auto"/>
    </w:pPr>
  </w:style>
  <w:style w:type="character" w:customStyle="1" w:styleId="FooterChar1">
    <w:name w:val="Footer Char1"/>
    <w:basedOn w:val="DefaultParagraphFont"/>
    <w:uiPriority w:val="99"/>
    <w:semiHidden/>
    <w:rsid w:val="002252B4"/>
  </w:style>
  <w:style w:type="paragraph" w:customStyle="1" w:styleId="headinganchor">
    <w:name w:val="headinganchor"/>
    <w:basedOn w:val="Normal"/>
    <w:uiPriority w:val="99"/>
    <w:rsid w:val="002252B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25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F6115"/>
    <w:rPr>
      <w:rFonts w:ascii="Times New Roman" w:hAnsi="Times New Roman" w:cs="Times New Roman" w:hint="default"/>
      <w:b w:val="0"/>
      <w:bCs w:val="0"/>
      <w:i w:val="0"/>
      <w:iCs w:val="0"/>
      <w:color w:val="000000"/>
      <w:sz w:val="24"/>
      <w:szCs w:val="24"/>
    </w:rPr>
  </w:style>
  <w:style w:type="paragraph" w:customStyle="1" w:styleId="EndNoteBibliographyTitle">
    <w:name w:val="EndNote Bibliography Title"/>
    <w:basedOn w:val="Normal"/>
    <w:link w:val="EndNoteBibliographyTitleChar"/>
    <w:rsid w:val="0010386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03867"/>
    <w:rPr>
      <w:rFonts w:ascii="Calibri" w:hAnsi="Calibri" w:cs="Calibri"/>
      <w:noProof/>
    </w:rPr>
  </w:style>
  <w:style w:type="paragraph" w:customStyle="1" w:styleId="EndNoteBibliography">
    <w:name w:val="EndNote Bibliography"/>
    <w:basedOn w:val="Normal"/>
    <w:link w:val="EndNoteBibliographyChar"/>
    <w:rsid w:val="00103867"/>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103867"/>
    <w:rPr>
      <w:rFonts w:ascii="Calibri" w:hAnsi="Calibri" w:cs="Calibri"/>
      <w:noProof/>
    </w:rPr>
  </w:style>
  <w:style w:type="table" w:customStyle="1" w:styleId="PlainTable21">
    <w:name w:val="Plain Table 21"/>
    <w:basedOn w:val="TableNormal"/>
    <w:uiPriority w:val="42"/>
    <w:rsid w:val="00F765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6A5FE7"/>
    <w:pPr>
      <w:ind w:left="720"/>
      <w:contextualSpacing/>
    </w:pPr>
  </w:style>
  <w:style w:type="character" w:styleId="Hyperlink">
    <w:name w:val="Hyperlink"/>
    <w:basedOn w:val="DefaultParagraphFont"/>
    <w:uiPriority w:val="99"/>
    <w:semiHidden/>
    <w:unhideWhenUsed/>
    <w:rsid w:val="0072429E"/>
    <w:rPr>
      <w:color w:val="0000FF"/>
      <w:u w:val="single"/>
    </w:rPr>
  </w:style>
  <w:style w:type="character" w:customStyle="1" w:styleId="Heading3Char">
    <w:name w:val="Heading 3 Char"/>
    <w:basedOn w:val="DefaultParagraphFont"/>
    <w:link w:val="Heading3"/>
    <w:uiPriority w:val="9"/>
    <w:rsid w:val="00F663F3"/>
    <w:rPr>
      <w:rFonts w:ascii="Times New Roman" w:eastAsia="Times New Roman" w:hAnsi="Times New Roman" w:cs="Times New Roman"/>
      <w:b/>
      <w:bCs/>
      <w:sz w:val="27"/>
      <w:szCs w:val="27"/>
    </w:rPr>
  </w:style>
  <w:style w:type="paragraph" w:customStyle="1" w:styleId="p">
    <w:name w:val="p"/>
    <w:basedOn w:val="Normal"/>
    <w:rsid w:val="00F663F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D82BCD"/>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D82BCD"/>
    <w:rPr>
      <w:rFonts w:ascii="Times New Roman" w:eastAsia="Times New Roman" w:hAnsi="Times New Roman" w:cs="Times New Roman"/>
      <w:sz w:val="28"/>
      <w:szCs w:val="28"/>
    </w:rPr>
  </w:style>
  <w:style w:type="paragraph" w:styleId="Title">
    <w:name w:val="Title"/>
    <w:basedOn w:val="Normal"/>
    <w:link w:val="TitleChar"/>
    <w:uiPriority w:val="10"/>
    <w:qFormat/>
    <w:rsid w:val="00D82BCD"/>
    <w:pPr>
      <w:spacing w:before="120" w:after="120" w:line="360" w:lineRule="auto"/>
      <w:ind w:firstLine="720"/>
      <w:jc w:val="center"/>
    </w:pPr>
    <w:rPr>
      <w:rFonts w:ascii="Times New Roman" w:eastAsia="Times New Roman" w:hAnsi="Times New Roman" w:cs="Times New Roman"/>
      <w:b/>
      <w:bCs/>
      <w:i/>
      <w:iCs/>
      <w:sz w:val="32"/>
      <w:szCs w:val="32"/>
    </w:rPr>
  </w:style>
  <w:style w:type="character" w:customStyle="1" w:styleId="TitleChar">
    <w:name w:val="Title Char"/>
    <w:basedOn w:val="DefaultParagraphFont"/>
    <w:link w:val="Title"/>
    <w:uiPriority w:val="10"/>
    <w:rsid w:val="00D82BCD"/>
    <w:rPr>
      <w:rFonts w:ascii="Times New Roman" w:eastAsia="Times New Roman" w:hAnsi="Times New Roman" w:cs="Times New Roman"/>
      <w:b/>
      <w:bCs/>
      <w:i/>
      <w:iCs/>
      <w:sz w:val="32"/>
      <w:szCs w:val="32"/>
    </w:rPr>
  </w:style>
  <w:style w:type="paragraph" w:styleId="HTMLPreformatted">
    <w:name w:val="HTML Preformatted"/>
    <w:basedOn w:val="Normal"/>
    <w:link w:val="HTMLPreformattedChar"/>
    <w:uiPriority w:val="99"/>
    <w:unhideWhenUsed/>
    <w:rsid w:val="00D82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82BCD"/>
    <w:rPr>
      <w:rFonts w:ascii="Courier New" w:eastAsia="Times New Roman" w:hAnsi="Courier New" w:cs="Courier New"/>
      <w:sz w:val="20"/>
      <w:szCs w:val="20"/>
    </w:rPr>
  </w:style>
  <w:style w:type="table" w:customStyle="1" w:styleId="TableGrid1">
    <w:name w:val="Table Grid1"/>
    <w:basedOn w:val="TableNormal"/>
    <w:next w:val="TableGrid"/>
    <w:uiPriority w:val="39"/>
    <w:rsid w:val="00C0767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A122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407C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52D0"/>
    <w:rPr>
      <w:sz w:val="16"/>
      <w:szCs w:val="16"/>
    </w:rPr>
  </w:style>
  <w:style w:type="paragraph" w:styleId="CommentText">
    <w:name w:val="annotation text"/>
    <w:basedOn w:val="Normal"/>
    <w:link w:val="CommentTextChar"/>
    <w:uiPriority w:val="99"/>
    <w:semiHidden/>
    <w:unhideWhenUsed/>
    <w:rsid w:val="00F052D0"/>
    <w:pPr>
      <w:spacing w:line="240" w:lineRule="auto"/>
    </w:pPr>
    <w:rPr>
      <w:sz w:val="20"/>
      <w:szCs w:val="20"/>
    </w:rPr>
  </w:style>
  <w:style w:type="character" w:customStyle="1" w:styleId="CommentTextChar">
    <w:name w:val="Comment Text Char"/>
    <w:basedOn w:val="DefaultParagraphFont"/>
    <w:link w:val="CommentText"/>
    <w:uiPriority w:val="99"/>
    <w:semiHidden/>
    <w:rsid w:val="00F052D0"/>
    <w:rPr>
      <w:sz w:val="20"/>
      <w:szCs w:val="20"/>
    </w:rPr>
  </w:style>
  <w:style w:type="paragraph" w:styleId="CommentSubject">
    <w:name w:val="annotation subject"/>
    <w:basedOn w:val="CommentText"/>
    <w:next w:val="CommentText"/>
    <w:link w:val="CommentSubjectChar"/>
    <w:uiPriority w:val="99"/>
    <w:semiHidden/>
    <w:unhideWhenUsed/>
    <w:rsid w:val="00F052D0"/>
    <w:rPr>
      <w:b/>
      <w:bCs/>
    </w:rPr>
  </w:style>
  <w:style w:type="character" w:customStyle="1" w:styleId="CommentSubjectChar">
    <w:name w:val="Comment Subject Char"/>
    <w:basedOn w:val="CommentTextChar"/>
    <w:link w:val="CommentSubject"/>
    <w:uiPriority w:val="99"/>
    <w:semiHidden/>
    <w:rsid w:val="00F052D0"/>
    <w:rPr>
      <w:b/>
      <w:bCs/>
      <w:sz w:val="20"/>
      <w:szCs w:val="20"/>
    </w:rPr>
  </w:style>
  <w:style w:type="paragraph" w:styleId="BalloonText">
    <w:name w:val="Balloon Text"/>
    <w:basedOn w:val="Normal"/>
    <w:link w:val="BalloonTextChar"/>
    <w:uiPriority w:val="99"/>
    <w:semiHidden/>
    <w:unhideWhenUsed/>
    <w:rsid w:val="00F05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2D0"/>
    <w:rPr>
      <w:rFonts w:ascii="Tahoma" w:hAnsi="Tahoma" w:cs="Tahoma"/>
      <w:sz w:val="16"/>
      <w:szCs w:val="16"/>
    </w:rPr>
  </w:style>
  <w:style w:type="character" w:customStyle="1" w:styleId="Heading2Char">
    <w:name w:val="Heading 2 Char"/>
    <w:basedOn w:val="DefaultParagraphFont"/>
    <w:link w:val="Heading2"/>
    <w:uiPriority w:val="9"/>
    <w:rsid w:val="000D08AB"/>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65774">
      <w:bodyDiv w:val="1"/>
      <w:marLeft w:val="0"/>
      <w:marRight w:val="0"/>
      <w:marTop w:val="0"/>
      <w:marBottom w:val="0"/>
      <w:divBdr>
        <w:top w:val="none" w:sz="0" w:space="0" w:color="auto"/>
        <w:left w:val="none" w:sz="0" w:space="0" w:color="auto"/>
        <w:bottom w:val="none" w:sz="0" w:space="0" w:color="auto"/>
        <w:right w:val="none" w:sz="0" w:space="0" w:color="auto"/>
      </w:divBdr>
    </w:div>
    <w:div w:id="57019869">
      <w:bodyDiv w:val="1"/>
      <w:marLeft w:val="0"/>
      <w:marRight w:val="0"/>
      <w:marTop w:val="0"/>
      <w:marBottom w:val="0"/>
      <w:divBdr>
        <w:top w:val="none" w:sz="0" w:space="0" w:color="auto"/>
        <w:left w:val="none" w:sz="0" w:space="0" w:color="auto"/>
        <w:bottom w:val="none" w:sz="0" w:space="0" w:color="auto"/>
        <w:right w:val="none" w:sz="0" w:space="0" w:color="auto"/>
      </w:divBdr>
    </w:div>
    <w:div w:id="117534539">
      <w:bodyDiv w:val="1"/>
      <w:marLeft w:val="0"/>
      <w:marRight w:val="0"/>
      <w:marTop w:val="0"/>
      <w:marBottom w:val="0"/>
      <w:divBdr>
        <w:top w:val="none" w:sz="0" w:space="0" w:color="auto"/>
        <w:left w:val="none" w:sz="0" w:space="0" w:color="auto"/>
        <w:bottom w:val="none" w:sz="0" w:space="0" w:color="auto"/>
        <w:right w:val="none" w:sz="0" w:space="0" w:color="auto"/>
      </w:divBdr>
    </w:div>
    <w:div w:id="145440761">
      <w:bodyDiv w:val="1"/>
      <w:marLeft w:val="0"/>
      <w:marRight w:val="0"/>
      <w:marTop w:val="0"/>
      <w:marBottom w:val="0"/>
      <w:divBdr>
        <w:top w:val="none" w:sz="0" w:space="0" w:color="auto"/>
        <w:left w:val="none" w:sz="0" w:space="0" w:color="auto"/>
        <w:bottom w:val="none" w:sz="0" w:space="0" w:color="auto"/>
        <w:right w:val="none" w:sz="0" w:space="0" w:color="auto"/>
      </w:divBdr>
    </w:div>
    <w:div w:id="219172934">
      <w:bodyDiv w:val="1"/>
      <w:marLeft w:val="0"/>
      <w:marRight w:val="0"/>
      <w:marTop w:val="0"/>
      <w:marBottom w:val="0"/>
      <w:divBdr>
        <w:top w:val="none" w:sz="0" w:space="0" w:color="auto"/>
        <w:left w:val="none" w:sz="0" w:space="0" w:color="auto"/>
        <w:bottom w:val="none" w:sz="0" w:space="0" w:color="auto"/>
        <w:right w:val="none" w:sz="0" w:space="0" w:color="auto"/>
      </w:divBdr>
    </w:div>
    <w:div w:id="233517218">
      <w:bodyDiv w:val="1"/>
      <w:marLeft w:val="0"/>
      <w:marRight w:val="0"/>
      <w:marTop w:val="0"/>
      <w:marBottom w:val="0"/>
      <w:divBdr>
        <w:top w:val="none" w:sz="0" w:space="0" w:color="auto"/>
        <w:left w:val="none" w:sz="0" w:space="0" w:color="auto"/>
        <w:bottom w:val="none" w:sz="0" w:space="0" w:color="auto"/>
        <w:right w:val="none" w:sz="0" w:space="0" w:color="auto"/>
      </w:divBdr>
    </w:div>
    <w:div w:id="246154566">
      <w:bodyDiv w:val="1"/>
      <w:marLeft w:val="0"/>
      <w:marRight w:val="0"/>
      <w:marTop w:val="0"/>
      <w:marBottom w:val="0"/>
      <w:divBdr>
        <w:top w:val="none" w:sz="0" w:space="0" w:color="auto"/>
        <w:left w:val="none" w:sz="0" w:space="0" w:color="auto"/>
        <w:bottom w:val="none" w:sz="0" w:space="0" w:color="auto"/>
        <w:right w:val="none" w:sz="0" w:space="0" w:color="auto"/>
      </w:divBdr>
    </w:div>
    <w:div w:id="262734055">
      <w:bodyDiv w:val="1"/>
      <w:marLeft w:val="0"/>
      <w:marRight w:val="0"/>
      <w:marTop w:val="0"/>
      <w:marBottom w:val="0"/>
      <w:divBdr>
        <w:top w:val="none" w:sz="0" w:space="0" w:color="auto"/>
        <w:left w:val="none" w:sz="0" w:space="0" w:color="auto"/>
        <w:bottom w:val="none" w:sz="0" w:space="0" w:color="auto"/>
        <w:right w:val="none" w:sz="0" w:space="0" w:color="auto"/>
      </w:divBdr>
    </w:div>
    <w:div w:id="391273771">
      <w:bodyDiv w:val="1"/>
      <w:marLeft w:val="0"/>
      <w:marRight w:val="0"/>
      <w:marTop w:val="0"/>
      <w:marBottom w:val="0"/>
      <w:divBdr>
        <w:top w:val="none" w:sz="0" w:space="0" w:color="auto"/>
        <w:left w:val="none" w:sz="0" w:space="0" w:color="auto"/>
        <w:bottom w:val="none" w:sz="0" w:space="0" w:color="auto"/>
        <w:right w:val="none" w:sz="0" w:space="0" w:color="auto"/>
      </w:divBdr>
    </w:div>
    <w:div w:id="409472444">
      <w:bodyDiv w:val="1"/>
      <w:marLeft w:val="0"/>
      <w:marRight w:val="0"/>
      <w:marTop w:val="0"/>
      <w:marBottom w:val="0"/>
      <w:divBdr>
        <w:top w:val="none" w:sz="0" w:space="0" w:color="auto"/>
        <w:left w:val="none" w:sz="0" w:space="0" w:color="auto"/>
        <w:bottom w:val="none" w:sz="0" w:space="0" w:color="auto"/>
        <w:right w:val="none" w:sz="0" w:space="0" w:color="auto"/>
      </w:divBdr>
    </w:div>
    <w:div w:id="514542168">
      <w:bodyDiv w:val="1"/>
      <w:marLeft w:val="0"/>
      <w:marRight w:val="0"/>
      <w:marTop w:val="0"/>
      <w:marBottom w:val="0"/>
      <w:divBdr>
        <w:top w:val="none" w:sz="0" w:space="0" w:color="auto"/>
        <w:left w:val="none" w:sz="0" w:space="0" w:color="auto"/>
        <w:bottom w:val="none" w:sz="0" w:space="0" w:color="auto"/>
        <w:right w:val="none" w:sz="0" w:space="0" w:color="auto"/>
      </w:divBdr>
    </w:div>
    <w:div w:id="574973116">
      <w:bodyDiv w:val="1"/>
      <w:marLeft w:val="0"/>
      <w:marRight w:val="0"/>
      <w:marTop w:val="0"/>
      <w:marBottom w:val="0"/>
      <w:divBdr>
        <w:top w:val="none" w:sz="0" w:space="0" w:color="auto"/>
        <w:left w:val="none" w:sz="0" w:space="0" w:color="auto"/>
        <w:bottom w:val="none" w:sz="0" w:space="0" w:color="auto"/>
        <w:right w:val="none" w:sz="0" w:space="0" w:color="auto"/>
      </w:divBdr>
    </w:div>
    <w:div w:id="623926033">
      <w:bodyDiv w:val="1"/>
      <w:marLeft w:val="0"/>
      <w:marRight w:val="0"/>
      <w:marTop w:val="0"/>
      <w:marBottom w:val="0"/>
      <w:divBdr>
        <w:top w:val="none" w:sz="0" w:space="0" w:color="auto"/>
        <w:left w:val="none" w:sz="0" w:space="0" w:color="auto"/>
        <w:bottom w:val="none" w:sz="0" w:space="0" w:color="auto"/>
        <w:right w:val="none" w:sz="0" w:space="0" w:color="auto"/>
      </w:divBdr>
    </w:div>
    <w:div w:id="652100733">
      <w:bodyDiv w:val="1"/>
      <w:marLeft w:val="0"/>
      <w:marRight w:val="0"/>
      <w:marTop w:val="0"/>
      <w:marBottom w:val="0"/>
      <w:divBdr>
        <w:top w:val="none" w:sz="0" w:space="0" w:color="auto"/>
        <w:left w:val="none" w:sz="0" w:space="0" w:color="auto"/>
        <w:bottom w:val="none" w:sz="0" w:space="0" w:color="auto"/>
        <w:right w:val="none" w:sz="0" w:space="0" w:color="auto"/>
      </w:divBdr>
    </w:div>
    <w:div w:id="718480844">
      <w:bodyDiv w:val="1"/>
      <w:marLeft w:val="0"/>
      <w:marRight w:val="0"/>
      <w:marTop w:val="0"/>
      <w:marBottom w:val="0"/>
      <w:divBdr>
        <w:top w:val="none" w:sz="0" w:space="0" w:color="auto"/>
        <w:left w:val="none" w:sz="0" w:space="0" w:color="auto"/>
        <w:bottom w:val="none" w:sz="0" w:space="0" w:color="auto"/>
        <w:right w:val="none" w:sz="0" w:space="0" w:color="auto"/>
      </w:divBdr>
    </w:div>
    <w:div w:id="744111351">
      <w:bodyDiv w:val="1"/>
      <w:marLeft w:val="0"/>
      <w:marRight w:val="0"/>
      <w:marTop w:val="0"/>
      <w:marBottom w:val="0"/>
      <w:divBdr>
        <w:top w:val="none" w:sz="0" w:space="0" w:color="auto"/>
        <w:left w:val="none" w:sz="0" w:space="0" w:color="auto"/>
        <w:bottom w:val="none" w:sz="0" w:space="0" w:color="auto"/>
        <w:right w:val="none" w:sz="0" w:space="0" w:color="auto"/>
      </w:divBdr>
    </w:div>
    <w:div w:id="748044047">
      <w:bodyDiv w:val="1"/>
      <w:marLeft w:val="0"/>
      <w:marRight w:val="0"/>
      <w:marTop w:val="0"/>
      <w:marBottom w:val="0"/>
      <w:divBdr>
        <w:top w:val="none" w:sz="0" w:space="0" w:color="auto"/>
        <w:left w:val="none" w:sz="0" w:space="0" w:color="auto"/>
        <w:bottom w:val="none" w:sz="0" w:space="0" w:color="auto"/>
        <w:right w:val="none" w:sz="0" w:space="0" w:color="auto"/>
      </w:divBdr>
    </w:div>
    <w:div w:id="863635951">
      <w:bodyDiv w:val="1"/>
      <w:marLeft w:val="0"/>
      <w:marRight w:val="0"/>
      <w:marTop w:val="0"/>
      <w:marBottom w:val="0"/>
      <w:divBdr>
        <w:top w:val="none" w:sz="0" w:space="0" w:color="auto"/>
        <w:left w:val="none" w:sz="0" w:space="0" w:color="auto"/>
        <w:bottom w:val="none" w:sz="0" w:space="0" w:color="auto"/>
        <w:right w:val="none" w:sz="0" w:space="0" w:color="auto"/>
      </w:divBdr>
    </w:div>
    <w:div w:id="900405672">
      <w:bodyDiv w:val="1"/>
      <w:marLeft w:val="0"/>
      <w:marRight w:val="0"/>
      <w:marTop w:val="0"/>
      <w:marBottom w:val="0"/>
      <w:divBdr>
        <w:top w:val="none" w:sz="0" w:space="0" w:color="auto"/>
        <w:left w:val="none" w:sz="0" w:space="0" w:color="auto"/>
        <w:bottom w:val="none" w:sz="0" w:space="0" w:color="auto"/>
        <w:right w:val="none" w:sz="0" w:space="0" w:color="auto"/>
      </w:divBdr>
    </w:div>
    <w:div w:id="904875770">
      <w:bodyDiv w:val="1"/>
      <w:marLeft w:val="0"/>
      <w:marRight w:val="0"/>
      <w:marTop w:val="0"/>
      <w:marBottom w:val="0"/>
      <w:divBdr>
        <w:top w:val="none" w:sz="0" w:space="0" w:color="auto"/>
        <w:left w:val="none" w:sz="0" w:space="0" w:color="auto"/>
        <w:bottom w:val="none" w:sz="0" w:space="0" w:color="auto"/>
        <w:right w:val="none" w:sz="0" w:space="0" w:color="auto"/>
      </w:divBdr>
    </w:div>
    <w:div w:id="1017854293">
      <w:bodyDiv w:val="1"/>
      <w:marLeft w:val="0"/>
      <w:marRight w:val="0"/>
      <w:marTop w:val="0"/>
      <w:marBottom w:val="0"/>
      <w:divBdr>
        <w:top w:val="none" w:sz="0" w:space="0" w:color="auto"/>
        <w:left w:val="none" w:sz="0" w:space="0" w:color="auto"/>
        <w:bottom w:val="none" w:sz="0" w:space="0" w:color="auto"/>
        <w:right w:val="none" w:sz="0" w:space="0" w:color="auto"/>
      </w:divBdr>
    </w:div>
    <w:div w:id="1047874267">
      <w:bodyDiv w:val="1"/>
      <w:marLeft w:val="0"/>
      <w:marRight w:val="0"/>
      <w:marTop w:val="0"/>
      <w:marBottom w:val="0"/>
      <w:divBdr>
        <w:top w:val="none" w:sz="0" w:space="0" w:color="auto"/>
        <w:left w:val="none" w:sz="0" w:space="0" w:color="auto"/>
        <w:bottom w:val="none" w:sz="0" w:space="0" w:color="auto"/>
        <w:right w:val="none" w:sz="0" w:space="0" w:color="auto"/>
      </w:divBdr>
    </w:div>
    <w:div w:id="1070735187">
      <w:bodyDiv w:val="1"/>
      <w:marLeft w:val="0"/>
      <w:marRight w:val="0"/>
      <w:marTop w:val="0"/>
      <w:marBottom w:val="0"/>
      <w:divBdr>
        <w:top w:val="none" w:sz="0" w:space="0" w:color="auto"/>
        <w:left w:val="none" w:sz="0" w:space="0" w:color="auto"/>
        <w:bottom w:val="none" w:sz="0" w:space="0" w:color="auto"/>
        <w:right w:val="none" w:sz="0" w:space="0" w:color="auto"/>
      </w:divBdr>
    </w:div>
    <w:div w:id="1199054185">
      <w:bodyDiv w:val="1"/>
      <w:marLeft w:val="0"/>
      <w:marRight w:val="0"/>
      <w:marTop w:val="0"/>
      <w:marBottom w:val="0"/>
      <w:divBdr>
        <w:top w:val="none" w:sz="0" w:space="0" w:color="auto"/>
        <w:left w:val="none" w:sz="0" w:space="0" w:color="auto"/>
        <w:bottom w:val="none" w:sz="0" w:space="0" w:color="auto"/>
        <w:right w:val="none" w:sz="0" w:space="0" w:color="auto"/>
      </w:divBdr>
    </w:div>
    <w:div w:id="1200973781">
      <w:bodyDiv w:val="1"/>
      <w:marLeft w:val="0"/>
      <w:marRight w:val="0"/>
      <w:marTop w:val="0"/>
      <w:marBottom w:val="0"/>
      <w:divBdr>
        <w:top w:val="none" w:sz="0" w:space="0" w:color="auto"/>
        <w:left w:val="none" w:sz="0" w:space="0" w:color="auto"/>
        <w:bottom w:val="none" w:sz="0" w:space="0" w:color="auto"/>
        <w:right w:val="none" w:sz="0" w:space="0" w:color="auto"/>
      </w:divBdr>
    </w:div>
    <w:div w:id="1213031706">
      <w:bodyDiv w:val="1"/>
      <w:marLeft w:val="0"/>
      <w:marRight w:val="0"/>
      <w:marTop w:val="0"/>
      <w:marBottom w:val="0"/>
      <w:divBdr>
        <w:top w:val="none" w:sz="0" w:space="0" w:color="auto"/>
        <w:left w:val="none" w:sz="0" w:space="0" w:color="auto"/>
        <w:bottom w:val="none" w:sz="0" w:space="0" w:color="auto"/>
        <w:right w:val="none" w:sz="0" w:space="0" w:color="auto"/>
      </w:divBdr>
    </w:div>
    <w:div w:id="1314718502">
      <w:bodyDiv w:val="1"/>
      <w:marLeft w:val="0"/>
      <w:marRight w:val="0"/>
      <w:marTop w:val="0"/>
      <w:marBottom w:val="0"/>
      <w:divBdr>
        <w:top w:val="none" w:sz="0" w:space="0" w:color="auto"/>
        <w:left w:val="none" w:sz="0" w:space="0" w:color="auto"/>
        <w:bottom w:val="none" w:sz="0" w:space="0" w:color="auto"/>
        <w:right w:val="none" w:sz="0" w:space="0" w:color="auto"/>
      </w:divBdr>
    </w:div>
    <w:div w:id="1328553415">
      <w:bodyDiv w:val="1"/>
      <w:marLeft w:val="0"/>
      <w:marRight w:val="0"/>
      <w:marTop w:val="0"/>
      <w:marBottom w:val="0"/>
      <w:divBdr>
        <w:top w:val="none" w:sz="0" w:space="0" w:color="auto"/>
        <w:left w:val="none" w:sz="0" w:space="0" w:color="auto"/>
        <w:bottom w:val="none" w:sz="0" w:space="0" w:color="auto"/>
        <w:right w:val="none" w:sz="0" w:space="0" w:color="auto"/>
      </w:divBdr>
    </w:div>
    <w:div w:id="1386677541">
      <w:bodyDiv w:val="1"/>
      <w:marLeft w:val="0"/>
      <w:marRight w:val="0"/>
      <w:marTop w:val="0"/>
      <w:marBottom w:val="0"/>
      <w:divBdr>
        <w:top w:val="none" w:sz="0" w:space="0" w:color="auto"/>
        <w:left w:val="none" w:sz="0" w:space="0" w:color="auto"/>
        <w:bottom w:val="none" w:sz="0" w:space="0" w:color="auto"/>
        <w:right w:val="none" w:sz="0" w:space="0" w:color="auto"/>
      </w:divBdr>
    </w:div>
    <w:div w:id="1516767408">
      <w:bodyDiv w:val="1"/>
      <w:marLeft w:val="0"/>
      <w:marRight w:val="0"/>
      <w:marTop w:val="0"/>
      <w:marBottom w:val="0"/>
      <w:divBdr>
        <w:top w:val="none" w:sz="0" w:space="0" w:color="auto"/>
        <w:left w:val="none" w:sz="0" w:space="0" w:color="auto"/>
        <w:bottom w:val="none" w:sz="0" w:space="0" w:color="auto"/>
        <w:right w:val="none" w:sz="0" w:space="0" w:color="auto"/>
      </w:divBdr>
    </w:div>
    <w:div w:id="1517386753">
      <w:bodyDiv w:val="1"/>
      <w:marLeft w:val="0"/>
      <w:marRight w:val="0"/>
      <w:marTop w:val="0"/>
      <w:marBottom w:val="0"/>
      <w:divBdr>
        <w:top w:val="none" w:sz="0" w:space="0" w:color="auto"/>
        <w:left w:val="none" w:sz="0" w:space="0" w:color="auto"/>
        <w:bottom w:val="none" w:sz="0" w:space="0" w:color="auto"/>
        <w:right w:val="none" w:sz="0" w:space="0" w:color="auto"/>
      </w:divBdr>
    </w:div>
    <w:div w:id="1572538484">
      <w:bodyDiv w:val="1"/>
      <w:marLeft w:val="0"/>
      <w:marRight w:val="0"/>
      <w:marTop w:val="0"/>
      <w:marBottom w:val="0"/>
      <w:divBdr>
        <w:top w:val="none" w:sz="0" w:space="0" w:color="auto"/>
        <w:left w:val="none" w:sz="0" w:space="0" w:color="auto"/>
        <w:bottom w:val="none" w:sz="0" w:space="0" w:color="auto"/>
        <w:right w:val="none" w:sz="0" w:space="0" w:color="auto"/>
      </w:divBdr>
    </w:div>
    <w:div w:id="1678383063">
      <w:bodyDiv w:val="1"/>
      <w:marLeft w:val="0"/>
      <w:marRight w:val="0"/>
      <w:marTop w:val="0"/>
      <w:marBottom w:val="0"/>
      <w:divBdr>
        <w:top w:val="none" w:sz="0" w:space="0" w:color="auto"/>
        <w:left w:val="none" w:sz="0" w:space="0" w:color="auto"/>
        <w:bottom w:val="none" w:sz="0" w:space="0" w:color="auto"/>
        <w:right w:val="none" w:sz="0" w:space="0" w:color="auto"/>
      </w:divBdr>
    </w:div>
    <w:div w:id="1686899441">
      <w:bodyDiv w:val="1"/>
      <w:marLeft w:val="0"/>
      <w:marRight w:val="0"/>
      <w:marTop w:val="0"/>
      <w:marBottom w:val="0"/>
      <w:divBdr>
        <w:top w:val="none" w:sz="0" w:space="0" w:color="auto"/>
        <w:left w:val="none" w:sz="0" w:space="0" w:color="auto"/>
        <w:bottom w:val="none" w:sz="0" w:space="0" w:color="auto"/>
        <w:right w:val="none" w:sz="0" w:space="0" w:color="auto"/>
      </w:divBdr>
    </w:div>
    <w:div w:id="1770616255">
      <w:bodyDiv w:val="1"/>
      <w:marLeft w:val="0"/>
      <w:marRight w:val="0"/>
      <w:marTop w:val="0"/>
      <w:marBottom w:val="0"/>
      <w:divBdr>
        <w:top w:val="none" w:sz="0" w:space="0" w:color="auto"/>
        <w:left w:val="none" w:sz="0" w:space="0" w:color="auto"/>
        <w:bottom w:val="none" w:sz="0" w:space="0" w:color="auto"/>
        <w:right w:val="none" w:sz="0" w:space="0" w:color="auto"/>
      </w:divBdr>
    </w:div>
    <w:div w:id="1854415741">
      <w:bodyDiv w:val="1"/>
      <w:marLeft w:val="0"/>
      <w:marRight w:val="0"/>
      <w:marTop w:val="0"/>
      <w:marBottom w:val="0"/>
      <w:divBdr>
        <w:top w:val="none" w:sz="0" w:space="0" w:color="auto"/>
        <w:left w:val="none" w:sz="0" w:space="0" w:color="auto"/>
        <w:bottom w:val="none" w:sz="0" w:space="0" w:color="auto"/>
        <w:right w:val="none" w:sz="0" w:space="0" w:color="auto"/>
      </w:divBdr>
    </w:div>
    <w:div w:id="1855461013">
      <w:bodyDiv w:val="1"/>
      <w:marLeft w:val="0"/>
      <w:marRight w:val="0"/>
      <w:marTop w:val="0"/>
      <w:marBottom w:val="0"/>
      <w:divBdr>
        <w:top w:val="none" w:sz="0" w:space="0" w:color="auto"/>
        <w:left w:val="none" w:sz="0" w:space="0" w:color="auto"/>
        <w:bottom w:val="none" w:sz="0" w:space="0" w:color="auto"/>
        <w:right w:val="none" w:sz="0" w:space="0" w:color="auto"/>
      </w:divBdr>
    </w:div>
    <w:div w:id="1887568657">
      <w:bodyDiv w:val="1"/>
      <w:marLeft w:val="0"/>
      <w:marRight w:val="0"/>
      <w:marTop w:val="0"/>
      <w:marBottom w:val="0"/>
      <w:divBdr>
        <w:top w:val="none" w:sz="0" w:space="0" w:color="auto"/>
        <w:left w:val="none" w:sz="0" w:space="0" w:color="auto"/>
        <w:bottom w:val="none" w:sz="0" w:space="0" w:color="auto"/>
        <w:right w:val="none" w:sz="0" w:space="0" w:color="auto"/>
      </w:divBdr>
    </w:div>
    <w:div w:id="1914267414">
      <w:bodyDiv w:val="1"/>
      <w:marLeft w:val="0"/>
      <w:marRight w:val="0"/>
      <w:marTop w:val="0"/>
      <w:marBottom w:val="0"/>
      <w:divBdr>
        <w:top w:val="none" w:sz="0" w:space="0" w:color="auto"/>
        <w:left w:val="none" w:sz="0" w:space="0" w:color="auto"/>
        <w:bottom w:val="none" w:sz="0" w:space="0" w:color="auto"/>
        <w:right w:val="none" w:sz="0" w:space="0" w:color="auto"/>
      </w:divBdr>
    </w:div>
    <w:div w:id="1977418070">
      <w:bodyDiv w:val="1"/>
      <w:marLeft w:val="0"/>
      <w:marRight w:val="0"/>
      <w:marTop w:val="0"/>
      <w:marBottom w:val="0"/>
      <w:divBdr>
        <w:top w:val="none" w:sz="0" w:space="0" w:color="auto"/>
        <w:left w:val="none" w:sz="0" w:space="0" w:color="auto"/>
        <w:bottom w:val="none" w:sz="0" w:space="0" w:color="auto"/>
        <w:right w:val="none" w:sz="0" w:space="0" w:color="auto"/>
      </w:divBdr>
    </w:div>
    <w:div w:id="2109886502">
      <w:bodyDiv w:val="1"/>
      <w:marLeft w:val="0"/>
      <w:marRight w:val="0"/>
      <w:marTop w:val="0"/>
      <w:marBottom w:val="0"/>
      <w:divBdr>
        <w:top w:val="none" w:sz="0" w:space="0" w:color="auto"/>
        <w:left w:val="none" w:sz="0" w:space="0" w:color="auto"/>
        <w:bottom w:val="none" w:sz="0" w:space="0" w:color="auto"/>
        <w:right w:val="none" w:sz="0" w:space="0" w:color="auto"/>
      </w:divBdr>
    </w:div>
    <w:div w:id="211073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9</Pages>
  <Words>5562</Words>
  <Characters>31709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Electronica</dc:creator>
  <cp:lastModifiedBy>Electronica Care</cp:lastModifiedBy>
  <cp:revision>5</cp:revision>
  <cp:lastPrinted>2022-12-20T11:55:00Z</cp:lastPrinted>
  <dcterms:created xsi:type="dcterms:W3CDTF">2024-05-03T15:49:00Z</dcterms:created>
  <dcterms:modified xsi:type="dcterms:W3CDTF">2024-05-09T20:24:00Z</dcterms:modified>
</cp:coreProperties>
</file>